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3A3B0" w14:textId="39D9BED8" w:rsidR="002066C6" w:rsidRPr="00E776E0" w:rsidRDefault="00E55E48" w:rsidP="00E55E48">
      <w:pPr>
        <w:pStyle w:val="Title"/>
        <w:jc w:val="center"/>
        <w:rPr>
          <w:rFonts w:asciiTheme="minorHAnsi" w:hAnsiTheme="minorHAnsi" w:cstheme="minorHAnsi"/>
          <w:b/>
        </w:rPr>
      </w:pPr>
      <w:r w:rsidRPr="00E776E0">
        <w:rPr>
          <w:rFonts w:asciiTheme="minorHAnsi" w:hAnsiTheme="minorHAnsi" w:cstheme="minorHAnsi"/>
          <w:b/>
          <w:noProof/>
          <w:lang w:val="en-GB" w:eastAsia="en-GB"/>
        </w:rPr>
        <w:drawing>
          <wp:anchor distT="0" distB="0" distL="114300" distR="114300" simplePos="0" relativeHeight="251658240" behindDoc="0" locked="0" layoutInCell="1" allowOverlap="1" wp14:anchorId="1F48D4BE" wp14:editId="0F3D32FD">
            <wp:simplePos x="0" y="0"/>
            <wp:positionH relativeFrom="margin">
              <wp:align>center</wp:align>
            </wp:positionH>
            <wp:positionV relativeFrom="paragraph">
              <wp:posOffset>546100</wp:posOffset>
            </wp:positionV>
            <wp:extent cx="952500" cy="9525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children.png"/>
                    <pic:cNvPicPr/>
                  </pic:nvPicPr>
                  <pic:blipFill>
                    <a:blip r:embed="rId8"/>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rPr>
        <w:drawing>
          <wp:inline distT="0" distB="0" distL="0" distR="0" wp14:anchorId="1EE2FC49" wp14:editId="73EB9A3B">
            <wp:extent cx="29718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li2 - jpg.png"/>
                    <pic:cNvPicPr/>
                  </pic:nvPicPr>
                  <pic:blipFill>
                    <a:blip r:embed="rId9"/>
                    <a:stretch>
                      <a:fillRect/>
                    </a:stretch>
                  </pic:blipFill>
                  <pic:spPr>
                    <a:xfrm>
                      <a:off x="0" y="0"/>
                      <a:ext cx="2971800" cy="457200"/>
                    </a:xfrm>
                    <a:prstGeom prst="rect">
                      <a:avLst/>
                    </a:prstGeom>
                  </pic:spPr>
                </pic:pic>
              </a:graphicData>
            </a:graphic>
          </wp:inline>
        </w:drawing>
      </w:r>
      <w:r w:rsidR="00DB3C35" w:rsidRPr="00E776E0">
        <w:rPr>
          <w:rFonts w:asciiTheme="minorHAnsi" w:hAnsiTheme="minorHAnsi" w:cstheme="minorHAnsi"/>
          <w:b/>
        </w:rPr>
        <w:t xml:space="preserve">                                          </w:t>
      </w:r>
    </w:p>
    <w:p w14:paraId="0220E262" w14:textId="77777777" w:rsidR="00E55E48" w:rsidRDefault="00E55E48" w:rsidP="001B4F3C">
      <w:pPr>
        <w:pStyle w:val="Heading1"/>
        <w:jc w:val="center"/>
        <w:rPr>
          <w:rFonts w:asciiTheme="minorHAnsi" w:hAnsiTheme="minorHAnsi" w:cstheme="minorHAnsi"/>
          <w:b/>
        </w:rPr>
      </w:pPr>
      <w:r w:rsidRPr="00E776E0">
        <w:rPr>
          <w:rFonts w:asciiTheme="minorHAnsi" w:hAnsiTheme="minorHAnsi" w:cstheme="minorHAnsi"/>
          <w:b/>
        </w:rPr>
        <w:t>JLI E</w:t>
      </w:r>
      <w:r>
        <w:rPr>
          <w:rFonts w:asciiTheme="minorHAnsi" w:hAnsiTheme="minorHAnsi" w:cstheme="minorHAnsi"/>
          <w:b/>
        </w:rPr>
        <w:t xml:space="preserve">nding </w:t>
      </w:r>
      <w:r w:rsidRPr="00E776E0">
        <w:rPr>
          <w:rFonts w:asciiTheme="minorHAnsi" w:hAnsiTheme="minorHAnsi" w:cstheme="minorHAnsi"/>
          <w:b/>
        </w:rPr>
        <w:t>V</w:t>
      </w:r>
      <w:r>
        <w:rPr>
          <w:rFonts w:asciiTheme="minorHAnsi" w:hAnsiTheme="minorHAnsi" w:cstheme="minorHAnsi"/>
          <w:b/>
        </w:rPr>
        <w:t xml:space="preserve">iolence </w:t>
      </w:r>
      <w:r w:rsidRPr="00E776E0">
        <w:rPr>
          <w:rFonts w:asciiTheme="minorHAnsi" w:hAnsiTheme="minorHAnsi" w:cstheme="minorHAnsi"/>
          <w:b/>
        </w:rPr>
        <w:t>A</w:t>
      </w:r>
      <w:r>
        <w:rPr>
          <w:rFonts w:asciiTheme="minorHAnsi" w:hAnsiTheme="minorHAnsi" w:cstheme="minorHAnsi"/>
          <w:b/>
        </w:rPr>
        <w:t xml:space="preserve">gainst </w:t>
      </w:r>
      <w:r w:rsidRPr="00E776E0">
        <w:rPr>
          <w:rFonts w:asciiTheme="minorHAnsi" w:hAnsiTheme="minorHAnsi" w:cstheme="minorHAnsi"/>
          <w:b/>
        </w:rPr>
        <w:t>C</w:t>
      </w:r>
      <w:r>
        <w:rPr>
          <w:rFonts w:asciiTheme="minorHAnsi" w:hAnsiTheme="minorHAnsi" w:cstheme="minorHAnsi"/>
          <w:b/>
        </w:rPr>
        <w:t>hildren</w:t>
      </w:r>
      <w:r w:rsidRPr="00E776E0">
        <w:rPr>
          <w:rFonts w:asciiTheme="minorHAnsi" w:hAnsiTheme="minorHAnsi" w:cstheme="minorHAnsi"/>
          <w:b/>
        </w:rPr>
        <w:t xml:space="preserve"> Hub </w:t>
      </w:r>
    </w:p>
    <w:p w14:paraId="032B9B10" w14:textId="308F3CEB" w:rsidR="00F70720" w:rsidRPr="00E776E0" w:rsidRDefault="002066C6" w:rsidP="001B4F3C">
      <w:pPr>
        <w:pStyle w:val="Heading1"/>
        <w:jc w:val="center"/>
        <w:rPr>
          <w:rFonts w:asciiTheme="minorHAnsi" w:hAnsiTheme="minorHAnsi" w:cstheme="minorHAnsi"/>
          <w:b/>
        </w:rPr>
      </w:pPr>
      <w:r w:rsidRPr="00E776E0">
        <w:rPr>
          <w:rFonts w:asciiTheme="minorHAnsi" w:hAnsiTheme="minorHAnsi" w:cstheme="minorHAnsi"/>
          <w:b/>
        </w:rPr>
        <w:t xml:space="preserve">Outline for Scoping </w:t>
      </w:r>
      <w:r w:rsidR="001B4F3C" w:rsidRPr="00E776E0">
        <w:rPr>
          <w:rFonts w:asciiTheme="minorHAnsi" w:hAnsiTheme="minorHAnsi" w:cstheme="minorHAnsi"/>
          <w:b/>
        </w:rPr>
        <w:t xml:space="preserve">Study: </w:t>
      </w:r>
    </w:p>
    <w:p w14:paraId="47D67A82" w14:textId="34B6268B" w:rsidR="00DB3C35" w:rsidRPr="00E776E0" w:rsidRDefault="00C5267B" w:rsidP="00E55E48">
      <w:pPr>
        <w:pStyle w:val="Heading2"/>
        <w:jc w:val="center"/>
      </w:pPr>
      <w:r w:rsidRPr="00E776E0">
        <w:t>Unique contributions of faith communities to</w:t>
      </w:r>
    </w:p>
    <w:p w14:paraId="147788CE" w14:textId="4AF16CF9" w:rsidR="00882194" w:rsidRPr="00E55E48" w:rsidRDefault="00160445" w:rsidP="00E55E48">
      <w:pPr>
        <w:pStyle w:val="Heading2"/>
        <w:jc w:val="center"/>
      </w:pPr>
      <w:r w:rsidRPr="00E776E0">
        <w:t>Ending Violence against C</w:t>
      </w:r>
      <w:r w:rsidR="00C5267B" w:rsidRPr="00E776E0">
        <w:t>hildren</w:t>
      </w:r>
      <w:r w:rsidRPr="00E776E0">
        <w:t xml:space="preserve"> (EVAC)</w:t>
      </w:r>
    </w:p>
    <w:p w14:paraId="2F4C7354" w14:textId="22F13D0D" w:rsidR="001B4F3C" w:rsidRPr="00E776E0" w:rsidRDefault="001B4F3C" w:rsidP="00B11779">
      <w:pPr>
        <w:widowControl w:val="0"/>
        <w:autoSpaceDE w:val="0"/>
        <w:autoSpaceDN w:val="0"/>
        <w:adjustRightInd w:val="0"/>
        <w:spacing w:after="240"/>
        <w:rPr>
          <w:rFonts w:cstheme="minorHAnsi"/>
          <w:b/>
          <w:szCs w:val="22"/>
        </w:rPr>
      </w:pPr>
    </w:p>
    <w:p w14:paraId="483F91DA" w14:textId="6ADC066D" w:rsidR="002066C6" w:rsidRPr="00E55E48" w:rsidRDefault="002066C6" w:rsidP="001F0BFA">
      <w:pPr>
        <w:pStyle w:val="Heading1"/>
        <w:rPr>
          <w:rFonts w:asciiTheme="minorHAnsi" w:hAnsiTheme="minorHAnsi" w:cstheme="minorHAnsi"/>
          <w:b/>
          <w:sz w:val="28"/>
        </w:rPr>
      </w:pPr>
      <w:r w:rsidRPr="00E55E48">
        <w:rPr>
          <w:rFonts w:asciiTheme="minorHAnsi" w:hAnsiTheme="minorHAnsi" w:cstheme="minorHAnsi"/>
          <w:b/>
          <w:sz w:val="28"/>
        </w:rPr>
        <w:t>Introduction</w:t>
      </w:r>
    </w:p>
    <w:p w14:paraId="17DE2E5E" w14:textId="173068C3" w:rsidR="00DF2881" w:rsidRPr="00E776E0" w:rsidRDefault="00F70720" w:rsidP="00DF2881">
      <w:pPr>
        <w:pStyle w:val="Pa0"/>
        <w:rPr>
          <w:rStyle w:val="A1"/>
          <w:rFonts w:asciiTheme="minorHAnsi" w:hAnsiTheme="minorHAnsi" w:cstheme="minorHAnsi"/>
          <w:sz w:val="24"/>
          <w:szCs w:val="24"/>
        </w:rPr>
      </w:pPr>
      <w:r w:rsidRPr="00E776E0">
        <w:rPr>
          <w:rStyle w:val="A1"/>
          <w:rFonts w:asciiTheme="minorHAnsi" w:hAnsiTheme="minorHAnsi" w:cstheme="minorHAnsi"/>
          <w:sz w:val="24"/>
          <w:szCs w:val="24"/>
        </w:rPr>
        <w:t xml:space="preserve">The Joint Learning Initiative on Faith &amp; Local Communities (JLI) Ending Violence </w:t>
      </w:r>
      <w:r w:rsidR="00160445" w:rsidRPr="00E776E0">
        <w:rPr>
          <w:rStyle w:val="A1"/>
          <w:rFonts w:asciiTheme="minorHAnsi" w:hAnsiTheme="minorHAnsi" w:cstheme="minorHAnsi"/>
          <w:sz w:val="24"/>
          <w:szCs w:val="24"/>
        </w:rPr>
        <w:t>against</w:t>
      </w:r>
      <w:r w:rsidRPr="00E776E0">
        <w:rPr>
          <w:rStyle w:val="A1"/>
          <w:rFonts w:asciiTheme="minorHAnsi" w:hAnsiTheme="minorHAnsi" w:cstheme="minorHAnsi"/>
          <w:sz w:val="24"/>
          <w:szCs w:val="24"/>
        </w:rPr>
        <w:t xml:space="preserve"> Children Hub (EVAC Hub) is dedicated to better understanding the role of religion and faith actors in protecting children against violence. The UN defines violence against children as all forms of physical or mental violence, injury and abuse, neglect</w:t>
      </w:r>
      <w:r w:rsidR="00702A3A" w:rsidRPr="00E776E0">
        <w:rPr>
          <w:rStyle w:val="A1"/>
          <w:rFonts w:asciiTheme="minorHAnsi" w:hAnsiTheme="minorHAnsi" w:cstheme="minorHAnsi"/>
          <w:sz w:val="24"/>
          <w:szCs w:val="24"/>
        </w:rPr>
        <w:t xml:space="preserve"> </w:t>
      </w:r>
      <w:r w:rsidRPr="00E776E0">
        <w:rPr>
          <w:rStyle w:val="A1"/>
          <w:rFonts w:asciiTheme="minorHAnsi" w:hAnsiTheme="minorHAnsi" w:cstheme="minorHAnsi"/>
          <w:sz w:val="24"/>
          <w:szCs w:val="24"/>
        </w:rPr>
        <w:t>or negligent treatment or exploitation, including sexual abuse.</w:t>
      </w:r>
      <w:r w:rsidRPr="00E776E0">
        <w:rPr>
          <w:rStyle w:val="A2"/>
          <w:rFonts w:asciiTheme="minorHAnsi" w:hAnsiTheme="minorHAnsi" w:cstheme="minorHAnsi"/>
          <w:sz w:val="24"/>
          <w:szCs w:val="24"/>
        </w:rPr>
        <w:t xml:space="preserve"> </w:t>
      </w:r>
      <w:r w:rsidRPr="00E776E0">
        <w:rPr>
          <w:rStyle w:val="A1"/>
          <w:rFonts w:asciiTheme="minorHAnsi" w:hAnsiTheme="minorHAnsi" w:cstheme="minorHAnsi"/>
          <w:sz w:val="24"/>
          <w:szCs w:val="24"/>
        </w:rPr>
        <w:t>‘Child protection’ is directly linked, and refers to preventing and responding to violence, exploitation and abuse against children acknowledging that these violations occur in every country and inhibit child survival and development.</w:t>
      </w:r>
    </w:p>
    <w:p w14:paraId="4019AFC8" w14:textId="1F62442D" w:rsidR="00F70720" w:rsidRPr="00E776E0" w:rsidRDefault="00F70720" w:rsidP="00DF2881">
      <w:pPr>
        <w:pStyle w:val="Pa0"/>
        <w:rPr>
          <w:rFonts w:asciiTheme="minorHAnsi" w:hAnsiTheme="minorHAnsi" w:cstheme="minorHAnsi"/>
          <w:color w:val="000000"/>
        </w:rPr>
      </w:pPr>
      <w:r w:rsidRPr="00E776E0">
        <w:rPr>
          <w:rStyle w:val="A1"/>
          <w:rFonts w:asciiTheme="minorHAnsi" w:hAnsiTheme="minorHAnsi" w:cstheme="minorHAnsi"/>
          <w:sz w:val="24"/>
          <w:szCs w:val="24"/>
        </w:rPr>
        <w:t xml:space="preserve"> </w:t>
      </w:r>
    </w:p>
    <w:p w14:paraId="13E8B357" w14:textId="2C0E2818" w:rsidR="00751A24" w:rsidRPr="00E776E0" w:rsidRDefault="00F70720" w:rsidP="00DF2881">
      <w:pPr>
        <w:pStyle w:val="Pa0"/>
        <w:rPr>
          <w:rStyle w:val="A1"/>
          <w:rFonts w:asciiTheme="minorHAnsi" w:hAnsiTheme="minorHAnsi" w:cstheme="minorHAnsi"/>
          <w:sz w:val="24"/>
          <w:szCs w:val="24"/>
        </w:rPr>
      </w:pPr>
      <w:r w:rsidRPr="00E776E0">
        <w:rPr>
          <w:rStyle w:val="A1"/>
          <w:rFonts w:asciiTheme="minorHAnsi" w:hAnsiTheme="minorHAnsi" w:cstheme="minorHAnsi"/>
          <w:sz w:val="24"/>
          <w:szCs w:val="24"/>
        </w:rPr>
        <w:t xml:space="preserve">In a world where 84 per cent of people are religious, faith communities have a unique, essential and indispensable role to play in ending violence against children. Faith leaders have unmatched moral authority and profound, trusted relationships with their communities; they </w:t>
      </w:r>
      <w:r w:rsidR="00DB3C35" w:rsidRPr="00E776E0">
        <w:rPr>
          <w:rStyle w:val="A1"/>
          <w:rFonts w:asciiTheme="minorHAnsi" w:hAnsiTheme="minorHAnsi" w:cstheme="minorHAnsi"/>
          <w:sz w:val="24"/>
          <w:szCs w:val="24"/>
        </w:rPr>
        <w:t>influence</w:t>
      </w:r>
      <w:r w:rsidRPr="00E776E0">
        <w:rPr>
          <w:rStyle w:val="A1"/>
          <w:rFonts w:asciiTheme="minorHAnsi" w:hAnsiTheme="minorHAnsi" w:cstheme="minorHAnsi"/>
          <w:sz w:val="24"/>
          <w:szCs w:val="24"/>
        </w:rPr>
        <w:t xml:space="preserve"> behaviour, for better or worse. The faith community can address oppressive ideology and broken relationships on spiritual, emotional and physical levels. </w:t>
      </w:r>
      <w:r w:rsidR="00BE0806" w:rsidRPr="00E776E0">
        <w:rPr>
          <w:rStyle w:val="A1"/>
          <w:rFonts w:asciiTheme="minorHAnsi" w:hAnsiTheme="minorHAnsi" w:cstheme="minorHAnsi"/>
          <w:sz w:val="24"/>
          <w:szCs w:val="24"/>
        </w:rPr>
        <w:t>They frequently</w:t>
      </w:r>
      <w:r w:rsidR="00DB3C35" w:rsidRPr="00E776E0">
        <w:rPr>
          <w:rStyle w:val="A1"/>
          <w:rFonts w:asciiTheme="minorHAnsi" w:hAnsiTheme="minorHAnsi" w:cstheme="minorHAnsi"/>
          <w:sz w:val="24"/>
          <w:szCs w:val="24"/>
        </w:rPr>
        <w:t xml:space="preserve"> </w:t>
      </w:r>
      <w:r w:rsidRPr="00E776E0">
        <w:rPr>
          <w:rStyle w:val="A1"/>
          <w:rFonts w:asciiTheme="minorHAnsi" w:hAnsiTheme="minorHAnsi" w:cstheme="minorHAnsi"/>
          <w:sz w:val="24"/>
          <w:szCs w:val="24"/>
        </w:rPr>
        <w:t xml:space="preserve">have more holistic, sustainable influence and reach than any state or organisation. Yet, there remains a lack of substantial evidence to indicate the multiple roles that faith actors play in preventing and responding to violence against children. </w:t>
      </w:r>
      <w:r w:rsidR="005B707F" w:rsidRPr="00E776E0">
        <w:rPr>
          <w:rStyle w:val="A1"/>
          <w:rFonts w:asciiTheme="minorHAnsi" w:hAnsiTheme="minorHAnsi" w:cstheme="minorHAnsi"/>
          <w:sz w:val="24"/>
          <w:szCs w:val="24"/>
        </w:rPr>
        <w:t xml:space="preserve">In particular, </w:t>
      </w:r>
      <w:r w:rsidR="003A2F25" w:rsidRPr="00E776E0">
        <w:rPr>
          <w:rStyle w:val="A1"/>
          <w:rFonts w:asciiTheme="minorHAnsi" w:hAnsiTheme="minorHAnsi" w:cstheme="minorHAnsi"/>
          <w:sz w:val="24"/>
          <w:szCs w:val="24"/>
        </w:rPr>
        <w:t xml:space="preserve">two areas stand out for further investigation. </w:t>
      </w:r>
    </w:p>
    <w:p w14:paraId="219FD62D" w14:textId="0AC12E95" w:rsidR="004362BF" w:rsidRPr="00E776E0" w:rsidRDefault="003A2F25" w:rsidP="004362BF">
      <w:pPr>
        <w:pStyle w:val="Pa0"/>
        <w:numPr>
          <w:ilvl w:val="0"/>
          <w:numId w:val="13"/>
        </w:numPr>
        <w:rPr>
          <w:rStyle w:val="A1"/>
          <w:rFonts w:asciiTheme="minorHAnsi" w:hAnsiTheme="minorHAnsi" w:cstheme="minorHAnsi"/>
          <w:sz w:val="24"/>
          <w:szCs w:val="24"/>
        </w:rPr>
      </w:pPr>
      <w:r w:rsidRPr="00E776E0">
        <w:rPr>
          <w:rStyle w:val="A1"/>
          <w:rFonts w:asciiTheme="minorHAnsi" w:hAnsiTheme="minorHAnsi" w:cstheme="minorHAnsi"/>
          <w:sz w:val="24"/>
          <w:szCs w:val="24"/>
        </w:rPr>
        <w:t xml:space="preserve">Firstly, </w:t>
      </w:r>
      <w:r w:rsidR="005B707F" w:rsidRPr="00E776E0">
        <w:rPr>
          <w:rStyle w:val="A1"/>
          <w:rFonts w:asciiTheme="minorHAnsi" w:hAnsiTheme="minorHAnsi" w:cstheme="minorHAnsi"/>
          <w:sz w:val="24"/>
          <w:szCs w:val="24"/>
        </w:rPr>
        <w:t xml:space="preserve">the </w:t>
      </w:r>
      <w:r w:rsidR="009170C8" w:rsidRPr="00E776E0">
        <w:rPr>
          <w:rStyle w:val="A1"/>
          <w:rFonts w:asciiTheme="minorHAnsi" w:hAnsiTheme="minorHAnsi" w:cstheme="minorHAnsi"/>
          <w:sz w:val="24"/>
          <w:szCs w:val="24"/>
        </w:rPr>
        <w:t xml:space="preserve">unique </w:t>
      </w:r>
      <w:r w:rsidR="00751A24" w:rsidRPr="00E776E0">
        <w:rPr>
          <w:rStyle w:val="A1"/>
          <w:rFonts w:asciiTheme="minorHAnsi" w:hAnsiTheme="minorHAnsi" w:cstheme="minorHAnsi"/>
          <w:sz w:val="24"/>
          <w:szCs w:val="24"/>
        </w:rPr>
        <w:t>contributions</w:t>
      </w:r>
      <w:r w:rsidR="009170C8" w:rsidRPr="00E776E0">
        <w:rPr>
          <w:rStyle w:val="A1"/>
          <w:rFonts w:asciiTheme="minorHAnsi" w:hAnsiTheme="minorHAnsi" w:cstheme="minorHAnsi"/>
          <w:sz w:val="24"/>
          <w:szCs w:val="24"/>
        </w:rPr>
        <w:t xml:space="preserve"> of faith communities – both in relation to </w:t>
      </w:r>
      <w:r w:rsidR="00D066B6" w:rsidRPr="00E776E0">
        <w:rPr>
          <w:rStyle w:val="A1"/>
          <w:rFonts w:asciiTheme="minorHAnsi" w:hAnsiTheme="minorHAnsi" w:cstheme="minorHAnsi"/>
          <w:sz w:val="24"/>
          <w:szCs w:val="24"/>
        </w:rPr>
        <w:t xml:space="preserve">ending as well as contributing to violence against children – need to be </w:t>
      </w:r>
      <w:r w:rsidRPr="00E776E0">
        <w:rPr>
          <w:rStyle w:val="A1"/>
          <w:rFonts w:asciiTheme="minorHAnsi" w:hAnsiTheme="minorHAnsi" w:cstheme="minorHAnsi"/>
          <w:sz w:val="24"/>
          <w:szCs w:val="24"/>
        </w:rPr>
        <w:t>examined in order to understand their involvement in t</w:t>
      </w:r>
      <w:r w:rsidR="00751A24" w:rsidRPr="00E776E0">
        <w:rPr>
          <w:rStyle w:val="A1"/>
          <w:rFonts w:asciiTheme="minorHAnsi" w:hAnsiTheme="minorHAnsi" w:cstheme="minorHAnsi"/>
          <w:sz w:val="24"/>
          <w:szCs w:val="24"/>
        </w:rPr>
        <w:t xml:space="preserve">he perpetuation as well as their positive </w:t>
      </w:r>
      <w:r w:rsidR="004362BF" w:rsidRPr="00E776E0">
        <w:rPr>
          <w:rStyle w:val="A1"/>
          <w:rFonts w:asciiTheme="minorHAnsi" w:hAnsiTheme="minorHAnsi" w:cstheme="minorHAnsi"/>
          <w:sz w:val="24"/>
          <w:szCs w:val="24"/>
        </w:rPr>
        <w:t xml:space="preserve">influence in this sphere. At </w:t>
      </w:r>
      <w:r w:rsidR="00B24E15" w:rsidRPr="00E776E0">
        <w:rPr>
          <w:rStyle w:val="A1"/>
          <w:rFonts w:asciiTheme="minorHAnsi" w:hAnsiTheme="minorHAnsi" w:cstheme="minorHAnsi"/>
          <w:sz w:val="24"/>
          <w:szCs w:val="24"/>
        </w:rPr>
        <w:t>present,</w:t>
      </w:r>
      <w:r w:rsidR="004362BF" w:rsidRPr="00E776E0">
        <w:rPr>
          <w:rStyle w:val="A1"/>
          <w:rFonts w:asciiTheme="minorHAnsi" w:hAnsiTheme="minorHAnsi" w:cstheme="minorHAnsi"/>
          <w:sz w:val="24"/>
          <w:szCs w:val="24"/>
        </w:rPr>
        <w:t xml:space="preserve"> no </w:t>
      </w:r>
      <w:r w:rsidR="00E00F36" w:rsidRPr="00E776E0">
        <w:rPr>
          <w:rStyle w:val="A1"/>
          <w:rFonts w:asciiTheme="minorHAnsi" w:hAnsiTheme="minorHAnsi" w:cstheme="minorHAnsi"/>
          <w:sz w:val="24"/>
          <w:szCs w:val="24"/>
        </w:rPr>
        <w:t>comprehensive</w:t>
      </w:r>
      <w:r w:rsidR="004362BF" w:rsidRPr="00E776E0">
        <w:rPr>
          <w:rStyle w:val="A1"/>
          <w:rFonts w:asciiTheme="minorHAnsi" w:hAnsiTheme="minorHAnsi" w:cstheme="minorHAnsi"/>
          <w:sz w:val="24"/>
          <w:szCs w:val="24"/>
        </w:rPr>
        <w:t xml:space="preserve"> overview of the evidence in this area exists.</w:t>
      </w:r>
    </w:p>
    <w:p w14:paraId="743FD725" w14:textId="3F466F4E" w:rsidR="004362BF" w:rsidRPr="00E776E0" w:rsidRDefault="004362BF" w:rsidP="004362BF">
      <w:pPr>
        <w:pStyle w:val="Default"/>
        <w:numPr>
          <w:ilvl w:val="0"/>
          <w:numId w:val="13"/>
        </w:numPr>
        <w:rPr>
          <w:rFonts w:asciiTheme="minorHAnsi" w:hAnsiTheme="minorHAnsi" w:cstheme="minorHAnsi"/>
        </w:rPr>
      </w:pPr>
      <w:r w:rsidRPr="00E776E0">
        <w:rPr>
          <w:rFonts w:asciiTheme="minorHAnsi" w:hAnsiTheme="minorHAnsi" w:cstheme="minorHAnsi"/>
        </w:rPr>
        <w:t xml:space="preserve">Secondly, the role of faith </w:t>
      </w:r>
      <w:r w:rsidR="008E1A61" w:rsidRPr="00E776E0">
        <w:rPr>
          <w:rFonts w:asciiTheme="minorHAnsi" w:hAnsiTheme="minorHAnsi" w:cstheme="minorHAnsi"/>
        </w:rPr>
        <w:t>actors</w:t>
      </w:r>
      <w:r w:rsidRPr="00E776E0">
        <w:rPr>
          <w:rFonts w:asciiTheme="minorHAnsi" w:hAnsiTheme="minorHAnsi" w:cstheme="minorHAnsi"/>
        </w:rPr>
        <w:t xml:space="preserve"> </w:t>
      </w:r>
      <w:r w:rsidR="00067FCA" w:rsidRPr="00E776E0">
        <w:rPr>
          <w:rFonts w:asciiTheme="minorHAnsi" w:eastAsia="Times New Roman" w:hAnsiTheme="minorHAnsi" w:cstheme="minorHAnsi"/>
          <w:lang w:eastAsia="en-GB"/>
        </w:rPr>
        <w:t xml:space="preserve">in influencing wider community and formal and informal child protection systems in relation to prevention and response to EVAC need </w:t>
      </w:r>
      <w:r w:rsidR="00E00F36" w:rsidRPr="00E776E0">
        <w:rPr>
          <w:rFonts w:asciiTheme="minorHAnsi" w:eastAsia="Times New Roman" w:hAnsiTheme="minorHAnsi" w:cstheme="minorHAnsi"/>
          <w:lang w:eastAsia="en-GB"/>
        </w:rPr>
        <w:t>to</w:t>
      </w:r>
      <w:r w:rsidR="00067FCA" w:rsidRPr="00E776E0">
        <w:rPr>
          <w:rFonts w:asciiTheme="minorHAnsi" w:eastAsia="Times New Roman" w:hAnsiTheme="minorHAnsi" w:cstheme="minorHAnsi"/>
          <w:lang w:eastAsia="en-GB"/>
        </w:rPr>
        <w:t xml:space="preserve"> be investigated in order to understand </w:t>
      </w:r>
      <w:r w:rsidR="00E00F36" w:rsidRPr="00E776E0">
        <w:rPr>
          <w:rFonts w:asciiTheme="minorHAnsi" w:eastAsia="Times New Roman" w:hAnsiTheme="minorHAnsi" w:cstheme="minorHAnsi"/>
          <w:lang w:eastAsia="en-GB"/>
        </w:rPr>
        <w:t>the</w:t>
      </w:r>
      <w:r w:rsidR="00067FCA" w:rsidRPr="00E776E0">
        <w:rPr>
          <w:rFonts w:asciiTheme="minorHAnsi" w:eastAsia="Times New Roman" w:hAnsiTheme="minorHAnsi" w:cstheme="minorHAnsi"/>
          <w:lang w:eastAsia="en-GB"/>
        </w:rPr>
        <w:t xml:space="preserve"> </w:t>
      </w:r>
      <w:r w:rsidR="00E00F36" w:rsidRPr="00E776E0">
        <w:rPr>
          <w:rFonts w:asciiTheme="minorHAnsi" w:eastAsia="Times New Roman" w:hAnsiTheme="minorHAnsi" w:cstheme="minorHAnsi"/>
          <w:lang w:eastAsia="en-GB"/>
        </w:rPr>
        <w:t>potential</w:t>
      </w:r>
      <w:r w:rsidR="00067FCA" w:rsidRPr="00E776E0">
        <w:rPr>
          <w:rFonts w:asciiTheme="minorHAnsi" w:eastAsia="Times New Roman" w:hAnsiTheme="minorHAnsi" w:cstheme="minorHAnsi"/>
          <w:lang w:eastAsia="en-GB"/>
        </w:rPr>
        <w:t xml:space="preserve"> that </w:t>
      </w:r>
      <w:r w:rsidR="00E00F36" w:rsidRPr="00E776E0">
        <w:rPr>
          <w:rFonts w:asciiTheme="minorHAnsi" w:eastAsia="Times New Roman" w:hAnsiTheme="minorHAnsi" w:cstheme="minorHAnsi"/>
          <w:lang w:eastAsia="en-GB"/>
        </w:rPr>
        <w:t>their</w:t>
      </w:r>
      <w:r w:rsidR="00067FCA" w:rsidRPr="00E776E0">
        <w:rPr>
          <w:rFonts w:asciiTheme="minorHAnsi" w:eastAsia="Times New Roman" w:hAnsiTheme="minorHAnsi" w:cstheme="minorHAnsi"/>
          <w:lang w:eastAsia="en-GB"/>
        </w:rPr>
        <w:t xml:space="preserve"> engagement has for child protection processes. </w:t>
      </w:r>
    </w:p>
    <w:p w14:paraId="191CBB76" w14:textId="77777777" w:rsidR="00DF2881" w:rsidRPr="00E776E0" w:rsidRDefault="00DF2881" w:rsidP="00DF2881">
      <w:pPr>
        <w:pStyle w:val="Pa0"/>
        <w:rPr>
          <w:rStyle w:val="A1"/>
          <w:rFonts w:asciiTheme="minorHAnsi" w:hAnsiTheme="minorHAnsi" w:cstheme="minorHAnsi"/>
          <w:sz w:val="24"/>
          <w:szCs w:val="24"/>
        </w:rPr>
      </w:pPr>
    </w:p>
    <w:p w14:paraId="4D9E6308" w14:textId="77777777" w:rsidR="00067FCA" w:rsidRPr="00E776E0" w:rsidRDefault="00F70720" w:rsidP="00DF2881">
      <w:pPr>
        <w:pStyle w:val="Pa0"/>
        <w:rPr>
          <w:rStyle w:val="A1"/>
          <w:rFonts w:asciiTheme="minorHAnsi" w:hAnsiTheme="minorHAnsi" w:cstheme="minorHAnsi"/>
          <w:sz w:val="24"/>
          <w:szCs w:val="24"/>
        </w:rPr>
      </w:pPr>
      <w:r w:rsidRPr="00E776E0">
        <w:rPr>
          <w:rStyle w:val="A1"/>
          <w:rFonts w:asciiTheme="minorHAnsi" w:hAnsiTheme="minorHAnsi" w:cstheme="minorHAnsi"/>
          <w:sz w:val="24"/>
          <w:szCs w:val="24"/>
        </w:rPr>
        <w:lastRenderedPageBreak/>
        <w:t xml:space="preserve">This particular gap in knowledge is the focus of the EVAC JLI Hub. This data is crucial to help </w:t>
      </w:r>
    </w:p>
    <w:p w14:paraId="1072A680" w14:textId="252A3A52" w:rsidR="00844310" w:rsidRPr="00E776E0" w:rsidRDefault="00F70720" w:rsidP="00DF2881">
      <w:pPr>
        <w:pStyle w:val="Pa0"/>
        <w:rPr>
          <w:rStyle w:val="A1"/>
          <w:rFonts w:asciiTheme="minorHAnsi" w:hAnsiTheme="minorHAnsi" w:cstheme="minorHAnsi"/>
          <w:sz w:val="24"/>
          <w:szCs w:val="24"/>
        </w:rPr>
      </w:pPr>
      <w:r w:rsidRPr="00E776E0">
        <w:rPr>
          <w:rStyle w:val="A1"/>
          <w:rFonts w:asciiTheme="minorHAnsi" w:hAnsiTheme="minorHAnsi" w:cstheme="minorHAnsi"/>
          <w:sz w:val="24"/>
          <w:szCs w:val="24"/>
        </w:rPr>
        <w:t>policymakers, religious leaders and practitioners inform policies and advocate for programmes and prevention efforts with faith communities to end violence against children</w:t>
      </w:r>
      <w:r w:rsidR="00674E36" w:rsidRPr="00E776E0">
        <w:rPr>
          <w:rStyle w:val="A1"/>
          <w:rFonts w:asciiTheme="minorHAnsi" w:hAnsiTheme="minorHAnsi" w:cstheme="minorHAnsi"/>
          <w:sz w:val="24"/>
          <w:szCs w:val="24"/>
        </w:rPr>
        <w:t>.</w:t>
      </w:r>
    </w:p>
    <w:p w14:paraId="60C69824" w14:textId="77777777" w:rsidR="005623E6" w:rsidRPr="00E776E0" w:rsidRDefault="005623E6" w:rsidP="00674E36">
      <w:pPr>
        <w:rPr>
          <w:rFonts w:cstheme="minorHAnsi"/>
        </w:rPr>
      </w:pPr>
    </w:p>
    <w:p w14:paraId="565B4BC1" w14:textId="7B8306AD" w:rsidR="000A016D" w:rsidRPr="00E776E0" w:rsidRDefault="00E00F36" w:rsidP="00674E36">
      <w:pPr>
        <w:rPr>
          <w:rFonts w:eastAsia="Times New Roman" w:cstheme="minorHAnsi"/>
          <w:color w:val="000000"/>
          <w:lang w:val="en-GB" w:eastAsia="en-GB"/>
        </w:rPr>
      </w:pPr>
      <w:r w:rsidRPr="00E776E0">
        <w:rPr>
          <w:rFonts w:cstheme="minorHAnsi"/>
        </w:rPr>
        <w:t>Three</w:t>
      </w:r>
      <w:r w:rsidR="00674E36" w:rsidRPr="00E776E0">
        <w:rPr>
          <w:rFonts w:cstheme="minorHAnsi"/>
        </w:rPr>
        <w:t xml:space="preserve"> </w:t>
      </w:r>
      <w:r w:rsidR="005623E6" w:rsidRPr="00E776E0">
        <w:rPr>
          <w:rFonts w:eastAsia="Times New Roman" w:cstheme="minorHAnsi"/>
          <w:b/>
          <w:i/>
          <w:color w:val="000000"/>
          <w:lang w:val="en-GB" w:eastAsia="en-GB"/>
        </w:rPr>
        <w:t>c</w:t>
      </w:r>
      <w:r w:rsidR="00674E36" w:rsidRPr="00E776E0">
        <w:rPr>
          <w:rFonts w:eastAsia="Times New Roman" w:cstheme="minorHAnsi"/>
          <w:b/>
          <w:i/>
          <w:color w:val="000000"/>
          <w:lang w:val="en-GB" w:eastAsia="en-GB"/>
        </w:rPr>
        <w:t>ross cutting themes</w:t>
      </w:r>
      <w:r w:rsidR="005623E6" w:rsidRPr="00E776E0">
        <w:rPr>
          <w:rFonts w:eastAsia="Times New Roman" w:cstheme="minorHAnsi"/>
          <w:color w:val="000000"/>
          <w:lang w:val="en-GB" w:eastAsia="en-GB"/>
        </w:rPr>
        <w:t xml:space="preserve"> inform this approach to the above issues: </w:t>
      </w:r>
    </w:p>
    <w:p w14:paraId="3DF14A59" w14:textId="2B5F7552" w:rsidR="000A016D" w:rsidRPr="00E776E0" w:rsidRDefault="000A016D" w:rsidP="000A016D">
      <w:pPr>
        <w:pStyle w:val="ListParagraph"/>
        <w:numPr>
          <w:ilvl w:val="0"/>
          <w:numId w:val="14"/>
        </w:numPr>
        <w:rPr>
          <w:rFonts w:eastAsia="Times New Roman" w:cstheme="minorHAnsi"/>
          <w:lang w:val="en-GB" w:eastAsia="en-GB"/>
        </w:rPr>
      </w:pPr>
      <w:r w:rsidRPr="00E776E0">
        <w:rPr>
          <w:rFonts w:eastAsia="Times New Roman" w:cstheme="minorHAnsi"/>
          <w:b/>
          <w:i/>
          <w:color w:val="000000"/>
          <w:lang w:val="en-GB" w:eastAsia="en-GB"/>
        </w:rPr>
        <w:t>Gender perspectives</w:t>
      </w:r>
      <w:r w:rsidRPr="00E776E0">
        <w:rPr>
          <w:rFonts w:eastAsia="Times New Roman" w:cstheme="minorHAnsi"/>
          <w:color w:val="000000"/>
          <w:lang w:val="en-GB" w:eastAsia="en-GB"/>
        </w:rPr>
        <w:t xml:space="preserve">: a </w:t>
      </w:r>
      <w:r w:rsidR="00E00F36" w:rsidRPr="00E776E0">
        <w:rPr>
          <w:rFonts w:eastAsia="Times New Roman" w:cstheme="minorHAnsi"/>
          <w:color w:val="000000"/>
          <w:lang w:val="en-GB" w:eastAsia="en-GB"/>
        </w:rPr>
        <w:t>gender</w:t>
      </w:r>
      <w:r w:rsidRPr="00E776E0">
        <w:rPr>
          <w:rFonts w:eastAsia="Times New Roman" w:cstheme="minorHAnsi"/>
          <w:color w:val="000000"/>
          <w:lang w:val="en-GB" w:eastAsia="en-GB"/>
        </w:rPr>
        <w:t xml:space="preserve"> lens to EVAC is central as</w:t>
      </w:r>
      <w:r w:rsidR="00DB3C35" w:rsidRPr="00E776E0">
        <w:rPr>
          <w:rFonts w:eastAsia="Times New Roman" w:cstheme="minorHAnsi"/>
          <w:color w:val="000000"/>
          <w:lang w:val="en-GB" w:eastAsia="en-GB"/>
        </w:rPr>
        <w:t xml:space="preserve"> </w:t>
      </w:r>
      <w:r w:rsidR="00DF1044" w:rsidRPr="00E776E0">
        <w:rPr>
          <w:rFonts w:eastAsia="Times New Roman" w:cstheme="minorHAnsi"/>
          <w:color w:val="000000"/>
          <w:lang w:val="en-GB" w:eastAsia="en-GB"/>
        </w:rPr>
        <w:t xml:space="preserve">children’s lives, their </w:t>
      </w:r>
      <w:r w:rsidR="00BE0806" w:rsidRPr="00E776E0">
        <w:rPr>
          <w:rFonts w:eastAsia="Times New Roman" w:cstheme="minorHAnsi"/>
          <w:color w:val="000000"/>
          <w:lang w:val="en-GB" w:eastAsia="en-GB"/>
        </w:rPr>
        <w:t>opportunities</w:t>
      </w:r>
      <w:r w:rsidR="00DF1044" w:rsidRPr="00E776E0">
        <w:rPr>
          <w:rFonts w:eastAsia="Times New Roman" w:cstheme="minorHAnsi"/>
          <w:color w:val="000000"/>
          <w:lang w:val="en-GB" w:eastAsia="en-GB"/>
        </w:rPr>
        <w:t xml:space="preserve">, as well as the violence directed against them contain a gender dimension. Issues such as son preference, </w:t>
      </w:r>
      <w:r w:rsidR="00103D9E" w:rsidRPr="00E776E0">
        <w:rPr>
          <w:rFonts w:eastAsia="Times New Roman" w:cstheme="minorHAnsi"/>
          <w:color w:val="000000"/>
          <w:lang w:val="en-GB" w:eastAsia="en-GB"/>
        </w:rPr>
        <w:t xml:space="preserve">corporal punishment, access to education, child marriage and many others affect girls and boys differently. Throughout the scoping study a gendered view of </w:t>
      </w:r>
      <w:r w:rsidR="00BE0806" w:rsidRPr="00E776E0">
        <w:rPr>
          <w:rFonts w:eastAsia="Times New Roman" w:cstheme="minorHAnsi"/>
          <w:color w:val="000000"/>
          <w:lang w:val="en-GB" w:eastAsia="en-GB"/>
        </w:rPr>
        <w:t>violence</w:t>
      </w:r>
      <w:r w:rsidR="00103D9E" w:rsidRPr="00E776E0">
        <w:rPr>
          <w:rFonts w:eastAsia="Times New Roman" w:cstheme="minorHAnsi"/>
          <w:color w:val="000000"/>
          <w:lang w:val="en-GB" w:eastAsia="en-GB"/>
        </w:rPr>
        <w:t xml:space="preserve"> directed against children will inform the analysis of faith communities’ perpetuation of and </w:t>
      </w:r>
      <w:r w:rsidR="00BE0806" w:rsidRPr="00E776E0">
        <w:rPr>
          <w:rFonts w:eastAsia="Times New Roman" w:cstheme="minorHAnsi"/>
          <w:color w:val="000000"/>
          <w:lang w:val="en-GB" w:eastAsia="en-GB"/>
        </w:rPr>
        <w:t>contributions</w:t>
      </w:r>
      <w:r w:rsidR="00103D9E" w:rsidRPr="00E776E0">
        <w:rPr>
          <w:rFonts w:eastAsia="Times New Roman" w:cstheme="minorHAnsi"/>
          <w:color w:val="000000"/>
          <w:lang w:val="en-GB" w:eastAsia="en-GB"/>
        </w:rPr>
        <w:t xml:space="preserve"> to ending these practices. </w:t>
      </w:r>
    </w:p>
    <w:p w14:paraId="54B77D8A" w14:textId="5B2003AA" w:rsidR="000A016D" w:rsidRPr="00E776E0" w:rsidRDefault="00674E36" w:rsidP="000A016D">
      <w:pPr>
        <w:pStyle w:val="ListParagraph"/>
        <w:numPr>
          <w:ilvl w:val="0"/>
          <w:numId w:val="14"/>
        </w:numPr>
        <w:rPr>
          <w:rFonts w:eastAsia="Times New Roman" w:cstheme="minorHAnsi"/>
          <w:lang w:val="en-GB" w:eastAsia="en-GB"/>
        </w:rPr>
      </w:pPr>
      <w:r w:rsidRPr="00E776E0">
        <w:rPr>
          <w:rFonts w:eastAsia="Times New Roman" w:cstheme="minorHAnsi"/>
          <w:b/>
          <w:i/>
          <w:color w:val="000000"/>
          <w:lang w:val="en-GB" w:eastAsia="en-GB"/>
        </w:rPr>
        <w:t>Inter</w:t>
      </w:r>
      <w:r w:rsidR="000A016D" w:rsidRPr="00E776E0">
        <w:rPr>
          <w:rFonts w:eastAsia="Times New Roman" w:cstheme="minorHAnsi"/>
          <w:b/>
          <w:i/>
          <w:color w:val="000000"/>
          <w:lang w:val="en-GB" w:eastAsia="en-GB"/>
        </w:rPr>
        <w:t>faith approaches/collaboration</w:t>
      </w:r>
      <w:r w:rsidR="000A016D" w:rsidRPr="00E776E0">
        <w:rPr>
          <w:rFonts w:eastAsia="Times New Roman" w:cstheme="minorHAnsi"/>
          <w:color w:val="000000"/>
          <w:lang w:val="en-GB" w:eastAsia="en-GB"/>
        </w:rPr>
        <w:t>:</w:t>
      </w:r>
      <w:r w:rsidR="00DB3C35" w:rsidRPr="00E776E0">
        <w:rPr>
          <w:rFonts w:eastAsia="Times New Roman" w:cstheme="minorHAnsi"/>
          <w:color w:val="000000"/>
          <w:lang w:val="en-GB" w:eastAsia="en-GB"/>
        </w:rPr>
        <w:t xml:space="preserve"> the particular approach </w:t>
      </w:r>
      <w:r w:rsidR="00BE0806" w:rsidRPr="00E776E0">
        <w:rPr>
          <w:rFonts w:eastAsia="Times New Roman" w:cstheme="minorHAnsi"/>
          <w:color w:val="000000"/>
          <w:lang w:val="en-GB" w:eastAsia="en-GB"/>
        </w:rPr>
        <w:t>taken</w:t>
      </w:r>
      <w:r w:rsidR="00DB3C35" w:rsidRPr="00E776E0">
        <w:rPr>
          <w:rFonts w:eastAsia="Times New Roman" w:cstheme="minorHAnsi"/>
          <w:color w:val="000000"/>
          <w:lang w:val="en-GB" w:eastAsia="en-GB"/>
        </w:rPr>
        <w:t xml:space="preserve"> by JLI to i</w:t>
      </w:r>
      <w:r w:rsidR="00103D9E" w:rsidRPr="00E776E0">
        <w:rPr>
          <w:rFonts w:eastAsia="Times New Roman" w:cstheme="minorHAnsi"/>
          <w:color w:val="000000"/>
          <w:lang w:val="en-GB" w:eastAsia="en-GB"/>
        </w:rPr>
        <w:t xml:space="preserve">nvestigating the involvement of faith communities in EVAC is one that recognises not only the importance of understanding how children within different faith perspectives are protected and supported (as well as harmed) but </w:t>
      </w:r>
      <w:r w:rsidR="00BE0806" w:rsidRPr="00E776E0">
        <w:rPr>
          <w:rFonts w:eastAsia="Times New Roman" w:cstheme="minorHAnsi"/>
          <w:color w:val="000000"/>
          <w:lang w:val="en-GB" w:eastAsia="en-GB"/>
        </w:rPr>
        <w:t>also</w:t>
      </w:r>
      <w:r w:rsidR="00103D9E" w:rsidRPr="00E776E0">
        <w:rPr>
          <w:rFonts w:eastAsia="Times New Roman" w:cstheme="minorHAnsi"/>
          <w:color w:val="000000"/>
          <w:lang w:val="en-GB" w:eastAsia="en-GB"/>
        </w:rPr>
        <w:t xml:space="preserve"> that interfaith collaboration is central to </w:t>
      </w:r>
      <w:r w:rsidR="00595041" w:rsidRPr="00E776E0">
        <w:rPr>
          <w:rFonts w:eastAsia="Times New Roman" w:cstheme="minorHAnsi"/>
          <w:color w:val="000000"/>
          <w:lang w:val="en-GB" w:eastAsia="en-GB"/>
        </w:rPr>
        <w:t xml:space="preserve">strengthening the voices of those who speak out and act against violence. In the scoping study this interfaith approach will be evident through the evidence presented. </w:t>
      </w:r>
    </w:p>
    <w:p w14:paraId="1713093B" w14:textId="0ECFEDBB" w:rsidR="00674E36" w:rsidRPr="00E776E0" w:rsidRDefault="00674E36" w:rsidP="000A016D">
      <w:pPr>
        <w:pStyle w:val="ListParagraph"/>
        <w:numPr>
          <w:ilvl w:val="0"/>
          <w:numId w:val="14"/>
        </w:numPr>
        <w:rPr>
          <w:rFonts w:eastAsia="Times New Roman" w:cstheme="minorHAnsi"/>
          <w:lang w:val="en-GB" w:eastAsia="en-GB"/>
        </w:rPr>
      </w:pPr>
      <w:r w:rsidRPr="00E776E0">
        <w:rPr>
          <w:rFonts w:eastAsia="Times New Roman" w:cstheme="minorHAnsi"/>
          <w:b/>
          <w:i/>
          <w:color w:val="000000"/>
          <w:lang w:val="en-GB" w:eastAsia="en-GB"/>
        </w:rPr>
        <w:t>Child participation</w:t>
      </w:r>
      <w:r w:rsidR="000A016D" w:rsidRPr="00E776E0">
        <w:rPr>
          <w:rFonts w:eastAsia="Times New Roman" w:cstheme="minorHAnsi"/>
          <w:color w:val="000000"/>
          <w:lang w:val="en-GB" w:eastAsia="en-GB"/>
        </w:rPr>
        <w:t xml:space="preserve">: an overriding assumption is that children </w:t>
      </w:r>
      <w:r w:rsidR="00D000CF" w:rsidRPr="00E776E0">
        <w:rPr>
          <w:rFonts w:eastAsia="Times New Roman" w:cstheme="minorHAnsi"/>
          <w:color w:val="000000"/>
          <w:lang w:val="en-GB" w:eastAsia="en-GB"/>
        </w:rPr>
        <w:t xml:space="preserve">have a fundamental right </w:t>
      </w:r>
      <w:r w:rsidR="000A016D" w:rsidRPr="00E776E0">
        <w:rPr>
          <w:rFonts w:eastAsia="Times New Roman" w:cstheme="minorHAnsi"/>
          <w:color w:val="000000"/>
          <w:lang w:val="en-GB" w:eastAsia="en-GB"/>
        </w:rPr>
        <w:t xml:space="preserve">to </w:t>
      </w:r>
      <w:r w:rsidR="00E00F36" w:rsidRPr="00E776E0">
        <w:rPr>
          <w:rFonts w:eastAsia="Times New Roman" w:cstheme="minorHAnsi"/>
          <w:color w:val="000000"/>
          <w:lang w:val="en-GB" w:eastAsia="en-GB"/>
        </w:rPr>
        <w:t>participate</w:t>
      </w:r>
      <w:r w:rsidR="000A016D" w:rsidRPr="00E776E0">
        <w:rPr>
          <w:rFonts w:eastAsia="Times New Roman" w:cstheme="minorHAnsi"/>
          <w:color w:val="000000"/>
          <w:lang w:val="en-GB" w:eastAsia="en-GB"/>
        </w:rPr>
        <w:t xml:space="preserve"> in decisions and </w:t>
      </w:r>
      <w:r w:rsidR="00E00F36" w:rsidRPr="00E776E0">
        <w:rPr>
          <w:rFonts w:eastAsia="Times New Roman" w:cstheme="minorHAnsi"/>
          <w:color w:val="000000"/>
          <w:lang w:val="en-GB" w:eastAsia="en-GB"/>
        </w:rPr>
        <w:t>issues</w:t>
      </w:r>
      <w:r w:rsidR="000A016D" w:rsidRPr="00E776E0">
        <w:rPr>
          <w:rFonts w:eastAsia="Times New Roman" w:cstheme="minorHAnsi"/>
          <w:color w:val="000000"/>
          <w:lang w:val="en-GB" w:eastAsia="en-GB"/>
        </w:rPr>
        <w:t xml:space="preserve"> that affect their live</w:t>
      </w:r>
      <w:r w:rsidR="00595041" w:rsidRPr="00E776E0">
        <w:rPr>
          <w:rFonts w:eastAsia="Times New Roman" w:cstheme="minorHAnsi"/>
          <w:color w:val="000000"/>
          <w:lang w:val="en-GB" w:eastAsia="en-GB"/>
        </w:rPr>
        <w:t xml:space="preserve">s and </w:t>
      </w:r>
      <w:r w:rsidR="00D000CF" w:rsidRPr="00E776E0">
        <w:rPr>
          <w:rFonts w:eastAsia="Times New Roman" w:cstheme="minorHAnsi"/>
          <w:color w:val="000000"/>
          <w:lang w:val="en-GB" w:eastAsia="en-GB"/>
        </w:rPr>
        <w:t>have their voices heard. T</w:t>
      </w:r>
      <w:r w:rsidR="00595041" w:rsidRPr="00E776E0">
        <w:rPr>
          <w:rFonts w:eastAsia="Times New Roman" w:cstheme="minorHAnsi"/>
          <w:color w:val="000000"/>
          <w:lang w:val="en-GB" w:eastAsia="en-GB"/>
        </w:rPr>
        <w:t xml:space="preserve">his </w:t>
      </w:r>
      <w:r w:rsidR="00191E62" w:rsidRPr="00E776E0">
        <w:rPr>
          <w:rFonts w:eastAsia="Times New Roman" w:cstheme="minorHAnsi"/>
          <w:color w:val="000000"/>
          <w:lang w:val="en-GB" w:eastAsia="en-GB"/>
        </w:rPr>
        <w:t>assumption</w:t>
      </w:r>
      <w:r w:rsidR="00595041" w:rsidRPr="00E776E0">
        <w:rPr>
          <w:rFonts w:eastAsia="Times New Roman" w:cstheme="minorHAnsi"/>
          <w:color w:val="000000"/>
          <w:lang w:val="en-GB" w:eastAsia="en-GB"/>
        </w:rPr>
        <w:t xml:space="preserve"> is </w:t>
      </w:r>
      <w:r w:rsidR="00D000CF" w:rsidRPr="00E776E0">
        <w:rPr>
          <w:rFonts w:eastAsia="Times New Roman" w:cstheme="minorHAnsi"/>
          <w:color w:val="000000"/>
          <w:lang w:val="en-GB" w:eastAsia="en-GB"/>
        </w:rPr>
        <w:t xml:space="preserve">central to how the topic of EVAC is approached as </w:t>
      </w:r>
      <w:r w:rsidR="00BE0806" w:rsidRPr="00E776E0">
        <w:rPr>
          <w:rFonts w:eastAsia="Times New Roman" w:cstheme="minorHAnsi"/>
          <w:color w:val="000000"/>
          <w:lang w:val="en-GB" w:eastAsia="en-GB"/>
        </w:rPr>
        <w:t>silencing</w:t>
      </w:r>
      <w:r w:rsidR="00D000CF" w:rsidRPr="00E776E0">
        <w:rPr>
          <w:rFonts w:eastAsia="Times New Roman" w:cstheme="minorHAnsi"/>
          <w:color w:val="000000"/>
          <w:lang w:val="en-GB" w:eastAsia="en-GB"/>
        </w:rPr>
        <w:t xml:space="preserve"> children and marginalising them in decision-making is a form of violence directed against them. </w:t>
      </w:r>
      <w:r w:rsidR="0087724D" w:rsidRPr="00E776E0">
        <w:rPr>
          <w:rFonts w:eastAsia="Times New Roman" w:cstheme="minorHAnsi"/>
          <w:color w:val="000000"/>
          <w:lang w:val="en-GB" w:eastAsia="en-GB"/>
        </w:rPr>
        <w:t xml:space="preserve">In this scoping study accessing children’s voices on the violence directed against them is </w:t>
      </w:r>
      <w:r w:rsidR="00F144BA" w:rsidRPr="00E776E0">
        <w:rPr>
          <w:rFonts w:eastAsia="Times New Roman" w:cstheme="minorHAnsi"/>
          <w:color w:val="000000"/>
          <w:lang w:val="en-GB" w:eastAsia="en-GB"/>
        </w:rPr>
        <w:t xml:space="preserve">crucial not only for </w:t>
      </w:r>
      <w:r w:rsidR="00BE0806" w:rsidRPr="00E776E0">
        <w:rPr>
          <w:rFonts w:eastAsia="Times New Roman" w:cstheme="minorHAnsi"/>
          <w:color w:val="000000"/>
          <w:lang w:val="en-GB" w:eastAsia="en-GB"/>
        </w:rPr>
        <w:t>understanding</w:t>
      </w:r>
      <w:r w:rsidR="00F144BA" w:rsidRPr="00E776E0">
        <w:rPr>
          <w:rFonts w:eastAsia="Times New Roman" w:cstheme="minorHAnsi"/>
          <w:color w:val="000000"/>
          <w:lang w:val="en-GB" w:eastAsia="en-GB"/>
        </w:rPr>
        <w:t xml:space="preserve"> their experience but also for how they see faith communities </w:t>
      </w:r>
      <w:r w:rsidR="00BE0806" w:rsidRPr="00E776E0">
        <w:rPr>
          <w:rFonts w:eastAsia="Times New Roman" w:cstheme="minorHAnsi"/>
          <w:color w:val="000000"/>
          <w:lang w:val="en-GB" w:eastAsia="en-GB"/>
        </w:rPr>
        <w:t>contributing</w:t>
      </w:r>
      <w:r w:rsidR="00F144BA" w:rsidRPr="00E776E0">
        <w:rPr>
          <w:rFonts w:eastAsia="Times New Roman" w:cstheme="minorHAnsi"/>
          <w:color w:val="000000"/>
          <w:lang w:val="en-GB" w:eastAsia="en-GB"/>
        </w:rPr>
        <w:t xml:space="preserve"> to eliminating violence. </w:t>
      </w:r>
      <w:r w:rsidR="00191E62" w:rsidRPr="00E776E0">
        <w:rPr>
          <w:rFonts w:eastAsia="Times New Roman" w:cstheme="minorHAnsi"/>
          <w:color w:val="000000"/>
          <w:lang w:val="en-GB" w:eastAsia="en-GB"/>
        </w:rPr>
        <w:t xml:space="preserve">In the literature review every attempt will be made to access studies that </w:t>
      </w:r>
      <w:r w:rsidR="00001B29" w:rsidRPr="00E776E0">
        <w:rPr>
          <w:rFonts w:eastAsia="Times New Roman" w:cstheme="minorHAnsi"/>
          <w:color w:val="000000"/>
          <w:lang w:val="en-GB" w:eastAsia="en-GB"/>
        </w:rPr>
        <w:t>present</w:t>
      </w:r>
      <w:r w:rsidR="00191E62" w:rsidRPr="00E776E0">
        <w:rPr>
          <w:rFonts w:eastAsia="Times New Roman" w:cstheme="minorHAnsi"/>
          <w:color w:val="000000"/>
          <w:lang w:val="en-GB" w:eastAsia="en-GB"/>
        </w:rPr>
        <w:t xml:space="preserve"> children’s voices and perspecti</w:t>
      </w:r>
      <w:r w:rsidR="00001B29" w:rsidRPr="00E776E0">
        <w:rPr>
          <w:rFonts w:eastAsia="Times New Roman" w:cstheme="minorHAnsi"/>
          <w:color w:val="000000"/>
          <w:lang w:val="en-GB" w:eastAsia="en-GB"/>
        </w:rPr>
        <w:t>ves.</w:t>
      </w:r>
    </w:p>
    <w:p w14:paraId="1B128C3C" w14:textId="77777777" w:rsidR="00844310" w:rsidRPr="00E776E0" w:rsidRDefault="00844310" w:rsidP="00B11779">
      <w:pPr>
        <w:widowControl w:val="0"/>
        <w:autoSpaceDE w:val="0"/>
        <w:autoSpaceDN w:val="0"/>
        <w:adjustRightInd w:val="0"/>
        <w:spacing w:after="240"/>
        <w:rPr>
          <w:rFonts w:cstheme="minorHAnsi"/>
        </w:rPr>
      </w:pPr>
    </w:p>
    <w:p w14:paraId="2CB0A1BF" w14:textId="2AEE7B6D" w:rsidR="001F0BFA" w:rsidRPr="00E55E48" w:rsidRDefault="00FD7A8B" w:rsidP="00E55E48">
      <w:pPr>
        <w:pStyle w:val="Heading1"/>
        <w:rPr>
          <w:rFonts w:asciiTheme="minorHAnsi" w:hAnsiTheme="minorHAnsi" w:cstheme="minorHAnsi"/>
          <w:b/>
          <w:sz w:val="28"/>
        </w:rPr>
      </w:pPr>
      <w:r w:rsidRPr="00E55E48">
        <w:rPr>
          <w:rFonts w:asciiTheme="minorHAnsi" w:hAnsiTheme="minorHAnsi" w:cstheme="minorHAnsi"/>
          <w:b/>
          <w:sz w:val="28"/>
        </w:rPr>
        <w:t>Building an improved evide</w:t>
      </w:r>
      <w:r w:rsidR="00BE3C86" w:rsidRPr="00E55E48">
        <w:rPr>
          <w:rFonts w:asciiTheme="minorHAnsi" w:hAnsiTheme="minorHAnsi" w:cstheme="minorHAnsi"/>
          <w:b/>
          <w:sz w:val="28"/>
        </w:rPr>
        <w:t>nce base for engagement with EVAC</w:t>
      </w:r>
    </w:p>
    <w:p w14:paraId="43AED5F5" w14:textId="35BCF285" w:rsidR="00717FFA" w:rsidRPr="00E776E0" w:rsidRDefault="00717FFA" w:rsidP="00B11779">
      <w:pPr>
        <w:widowControl w:val="0"/>
        <w:autoSpaceDE w:val="0"/>
        <w:autoSpaceDN w:val="0"/>
        <w:adjustRightInd w:val="0"/>
        <w:spacing w:after="240"/>
        <w:rPr>
          <w:rFonts w:cstheme="minorHAnsi"/>
        </w:rPr>
      </w:pPr>
      <w:r w:rsidRPr="00E776E0">
        <w:rPr>
          <w:rFonts w:cstheme="minorHAnsi"/>
        </w:rPr>
        <w:t xml:space="preserve">The Scoping Survey will </w:t>
      </w:r>
      <w:r w:rsidR="005B707F" w:rsidRPr="00E776E0">
        <w:rPr>
          <w:rFonts w:cstheme="minorHAnsi"/>
        </w:rPr>
        <w:t xml:space="preserve">develop a synthesis of existing evidence on the </w:t>
      </w:r>
      <w:r w:rsidR="00E00F36" w:rsidRPr="00E776E0">
        <w:rPr>
          <w:rFonts w:cstheme="minorHAnsi"/>
        </w:rPr>
        <w:t>contributions</w:t>
      </w:r>
      <w:r w:rsidR="005B707F" w:rsidRPr="00E776E0">
        <w:rPr>
          <w:rFonts w:cstheme="minorHAnsi"/>
        </w:rPr>
        <w:t xml:space="preserve"> of faith communities to EVA</w:t>
      </w:r>
      <w:r w:rsidR="000C3A90" w:rsidRPr="00E776E0">
        <w:rPr>
          <w:rFonts w:cstheme="minorHAnsi"/>
        </w:rPr>
        <w:t xml:space="preserve">C based on reviewing available literature, collating and </w:t>
      </w:r>
      <w:r w:rsidR="00BE0806" w:rsidRPr="00E776E0">
        <w:rPr>
          <w:rFonts w:cstheme="minorHAnsi"/>
        </w:rPr>
        <w:t>analyzing</w:t>
      </w:r>
      <w:r w:rsidR="000C3A90" w:rsidRPr="00E776E0">
        <w:rPr>
          <w:rFonts w:cstheme="minorHAnsi"/>
        </w:rPr>
        <w:t xml:space="preserve"> case studies as well as interviewing </w:t>
      </w:r>
      <w:r w:rsidR="00BE0806" w:rsidRPr="00E776E0">
        <w:rPr>
          <w:rFonts w:cstheme="minorHAnsi"/>
        </w:rPr>
        <w:t>practitioners</w:t>
      </w:r>
      <w:r w:rsidR="000C3A90" w:rsidRPr="00E776E0">
        <w:rPr>
          <w:rFonts w:cstheme="minorHAnsi"/>
        </w:rPr>
        <w:t xml:space="preserve"> and policy-makers. However, there are two issues that </w:t>
      </w:r>
      <w:r w:rsidR="00BE0806" w:rsidRPr="00E776E0">
        <w:rPr>
          <w:rFonts w:cstheme="minorHAnsi"/>
        </w:rPr>
        <w:t>influence</w:t>
      </w:r>
      <w:r w:rsidR="000C3A90" w:rsidRPr="00E776E0">
        <w:rPr>
          <w:rFonts w:cstheme="minorHAnsi"/>
        </w:rPr>
        <w:t xml:space="preserve"> the remit of the study. Firstly, in order not to broaden this undertaking to such an extent that it becomes meaningless, this process will be focused on the two themes identified above. </w:t>
      </w:r>
      <w:r w:rsidR="00BE0806" w:rsidRPr="00E776E0">
        <w:rPr>
          <w:rFonts w:cstheme="minorHAnsi"/>
        </w:rPr>
        <w:t>While</w:t>
      </w:r>
      <w:r w:rsidR="000C3A90" w:rsidRPr="00E776E0">
        <w:rPr>
          <w:rFonts w:cstheme="minorHAnsi"/>
        </w:rPr>
        <w:t xml:space="preserve"> many other</w:t>
      </w:r>
      <w:r w:rsidR="005154AE" w:rsidRPr="00E776E0">
        <w:rPr>
          <w:rFonts w:cstheme="minorHAnsi"/>
        </w:rPr>
        <w:t xml:space="preserve"> relevant themes</w:t>
      </w:r>
      <w:r w:rsidR="000C3A90" w:rsidRPr="00E776E0">
        <w:rPr>
          <w:rFonts w:cstheme="minorHAnsi"/>
        </w:rPr>
        <w:t xml:space="preserve"> exist that could </w:t>
      </w:r>
      <w:r w:rsidR="005154AE" w:rsidRPr="00E776E0">
        <w:rPr>
          <w:rFonts w:cstheme="minorHAnsi"/>
        </w:rPr>
        <w:t xml:space="preserve">form the focus of the study, their inclusion would dilute the evidence that the study could provide. </w:t>
      </w:r>
      <w:r w:rsidR="00BE0806" w:rsidRPr="00E776E0">
        <w:rPr>
          <w:rFonts w:cstheme="minorHAnsi"/>
        </w:rPr>
        <w:t>Secondly</w:t>
      </w:r>
      <w:r w:rsidR="005154AE" w:rsidRPr="00E776E0">
        <w:rPr>
          <w:rFonts w:cstheme="minorHAnsi"/>
        </w:rPr>
        <w:t xml:space="preserve">, the chosen themes seek not </w:t>
      </w:r>
      <w:r w:rsidR="00BE0806" w:rsidRPr="00E776E0">
        <w:rPr>
          <w:rFonts w:cstheme="minorHAnsi"/>
        </w:rPr>
        <w:t>to</w:t>
      </w:r>
      <w:r w:rsidR="005154AE" w:rsidRPr="00E776E0">
        <w:rPr>
          <w:rFonts w:cstheme="minorHAnsi"/>
        </w:rPr>
        <w:t xml:space="preserve"> </w:t>
      </w:r>
      <w:r w:rsidR="00BE0806" w:rsidRPr="00E776E0">
        <w:rPr>
          <w:rFonts w:cstheme="minorHAnsi"/>
        </w:rPr>
        <w:t>overlap</w:t>
      </w:r>
      <w:r w:rsidR="005154AE" w:rsidRPr="00E776E0">
        <w:rPr>
          <w:rFonts w:cstheme="minorHAnsi"/>
        </w:rPr>
        <w:t xml:space="preserve"> with the Gender Based Violence Hub of the JLI which has focused on </w:t>
      </w:r>
      <w:r w:rsidR="00CC7905" w:rsidRPr="00E776E0">
        <w:rPr>
          <w:rFonts w:cstheme="minorHAnsi"/>
        </w:rPr>
        <w:t xml:space="preserve">several examples of gendered </w:t>
      </w:r>
      <w:r w:rsidR="00BE0806" w:rsidRPr="00E776E0">
        <w:rPr>
          <w:rFonts w:cstheme="minorHAnsi"/>
        </w:rPr>
        <w:t>violence</w:t>
      </w:r>
      <w:r w:rsidR="00CC7905" w:rsidRPr="00E776E0">
        <w:rPr>
          <w:rFonts w:cstheme="minorHAnsi"/>
        </w:rPr>
        <w:t xml:space="preserve"> directed </w:t>
      </w:r>
      <w:r w:rsidR="00BE0806" w:rsidRPr="00E776E0">
        <w:rPr>
          <w:rFonts w:cstheme="minorHAnsi"/>
        </w:rPr>
        <w:t>against</w:t>
      </w:r>
      <w:r w:rsidR="00CC7905" w:rsidRPr="00E776E0">
        <w:rPr>
          <w:rFonts w:cstheme="minorHAnsi"/>
        </w:rPr>
        <w:t xml:space="preserve"> girls (such as child marriage and FGM/C amongst others). </w:t>
      </w:r>
      <w:r w:rsidR="00BE0806" w:rsidRPr="00E776E0">
        <w:rPr>
          <w:rFonts w:cstheme="minorHAnsi"/>
        </w:rPr>
        <w:t>While</w:t>
      </w:r>
      <w:r w:rsidR="00CC7905" w:rsidRPr="00E776E0">
        <w:rPr>
          <w:rFonts w:cstheme="minorHAnsi"/>
        </w:rPr>
        <w:t xml:space="preserve"> some of these more </w:t>
      </w:r>
      <w:r w:rsidR="00BE0806" w:rsidRPr="00E776E0">
        <w:rPr>
          <w:rFonts w:cstheme="minorHAnsi"/>
        </w:rPr>
        <w:t>overtly</w:t>
      </w:r>
      <w:r w:rsidR="00CC7905" w:rsidRPr="00E776E0">
        <w:rPr>
          <w:rFonts w:cstheme="minorHAnsi"/>
        </w:rPr>
        <w:t xml:space="preserve"> gender-based issues seem pertinent to this study focused on children, it was seen as pertinent to not duplicate scarce </w:t>
      </w:r>
      <w:r w:rsidR="00BE0806" w:rsidRPr="00E776E0">
        <w:rPr>
          <w:rFonts w:cstheme="minorHAnsi"/>
        </w:rPr>
        <w:t>resources</w:t>
      </w:r>
      <w:r w:rsidR="00CC7905" w:rsidRPr="00E776E0">
        <w:rPr>
          <w:rFonts w:cstheme="minorHAnsi"/>
        </w:rPr>
        <w:t xml:space="preserve"> in the field. </w:t>
      </w:r>
    </w:p>
    <w:p w14:paraId="24B9560B" w14:textId="7A16D89C" w:rsidR="00717FFA" w:rsidRPr="00E776E0" w:rsidRDefault="00BE3C86" w:rsidP="00B11779">
      <w:pPr>
        <w:widowControl w:val="0"/>
        <w:autoSpaceDE w:val="0"/>
        <w:autoSpaceDN w:val="0"/>
        <w:adjustRightInd w:val="0"/>
        <w:spacing w:after="240"/>
        <w:rPr>
          <w:rFonts w:cstheme="minorHAnsi"/>
        </w:rPr>
      </w:pPr>
      <w:r w:rsidRPr="00E776E0">
        <w:rPr>
          <w:rFonts w:cstheme="minorHAnsi"/>
        </w:rPr>
        <w:t xml:space="preserve">The </w:t>
      </w:r>
      <w:r w:rsidR="00E00F36" w:rsidRPr="00E776E0">
        <w:rPr>
          <w:rFonts w:cstheme="minorHAnsi"/>
        </w:rPr>
        <w:t>identification</w:t>
      </w:r>
      <w:r w:rsidRPr="00E776E0">
        <w:rPr>
          <w:rFonts w:cstheme="minorHAnsi"/>
        </w:rPr>
        <w:t xml:space="preserve"> of the two main themes highlighted above was </w:t>
      </w:r>
      <w:r w:rsidR="00E00F36" w:rsidRPr="00E776E0">
        <w:rPr>
          <w:rFonts w:cstheme="minorHAnsi"/>
        </w:rPr>
        <w:t>undertaken</w:t>
      </w:r>
      <w:r w:rsidRPr="00E776E0">
        <w:rPr>
          <w:rFonts w:cstheme="minorHAnsi"/>
        </w:rPr>
        <w:t xml:space="preserve"> throug</w:t>
      </w:r>
      <w:r w:rsidR="00EB5814" w:rsidRPr="00E776E0">
        <w:rPr>
          <w:rFonts w:cstheme="minorHAnsi"/>
        </w:rPr>
        <w:t>h consultation via the EVAC Hub with</w:t>
      </w:r>
      <w:r w:rsidRPr="00E776E0">
        <w:rPr>
          <w:rFonts w:cstheme="minorHAnsi"/>
        </w:rPr>
        <w:t xml:space="preserve"> a survey for interested participants</w:t>
      </w:r>
      <w:r w:rsidR="00EB5814" w:rsidRPr="00E776E0">
        <w:rPr>
          <w:rFonts w:cstheme="minorHAnsi"/>
        </w:rPr>
        <w:t xml:space="preserve"> and </w:t>
      </w:r>
      <w:r w:rsidR="00E00F36" w:rsidRPr="00E776E0">
        <w:rPr>
          <w:rFonts w:cstheme="minorHAnsi"/>
        </w:rPr>
        <w:t>several</w:t>
      </w:r>
      <w:r w:rsidR="00EB5814" w:rsidRPr="00E776E0">
        <w:rPr>
          <w:rFonts w:cstheme="minorHAnsi"/>
        </w:rPr>
        <w:t xml:space="preserve"> Hub </w:t>
      </w:r>
      <w:r w:rsidR="00E00F36" w:rsidRPr="00E776E0">
        <w:rPr>
          <w:rFonts w:cstheme="minorHAnsi"/>
        </w:rPr>
        <w:lastRenderedPageBreak/>
        <w:t>meetings</w:t>
      </w:r>
      <w:r w:rsidR="00EB5814" w:rsidRPr="00E776E0">
        <w:rPr>
          <w:rFonts w:cstheme="minorHAnsi"/>
        </w:rPr>
        <w:t xml:space="preserve"> between August – </w:t>
      </w:r>
      <w:r w:rsidR="00E00F36" w:rsidRPr="00E776E0">
        <w:rPr>
          <w:rFonts w:cstheme="minorHAnsi"/>
        </w:rPr>
        <w:t>December</w:t>
      </w:r>
      <w:r w:rsidR="00EB5814" w:rsidRPr="00E776E0">
        <w:rPr>
          <w:rFonts w:cstheme="minorHAnsi"/>
        </w:rPr>
        <w:t xml:space="preserve"> 201</w:t>
      </w:r>
      <w:r w:rsidR="00E55E48">
        <w:rPr>
          <w:rFonts w:cstheme="minorHAnsi"/>
        </w:rPr>
        <w:t>7</w:t>
      </w:r>
      <w:r w:rsidR="00EB5814" w:rsidRPr="00E776E0">
        <w:rPr>
          <w:rFonts w:cstheme="minorHAnsi"/>
        </w:rPr>
        <w:t xml:space="preserve">. It was decided that </w:t>
      </w:r>
      <w:r w:rsidR="00F9528E" w:rsidRPr="00E776E0">
        <w:rPr>
          <w:rFonts w:cstheme="minorHAnsi"/>
        </w:rPr>
        <w:t xml:space="preserve">the </w:t>
      </w:r>
      <w:r w:rsidR="00EB5814" w:rsidRPr="00E776E0">
        <w:rPr>
          <w:rFonts w:cstheme="minorHAnsi"/>
        </w:rPr>
        <w:t>scoping study</w:t>
      </w:r>
      <w:r w:rsidR="00F9528E" w:rsidRPr="00E776E0">
        <w:rPr>
          <w:rFonts w:cstheme="minorHAnsi"/>
        </w:rPr>
        <w:t xml:space="preserve"> </w:t>
      </w:r>
      <w:r w:rsidR="00C50BAF" w:rsidRPr="00E776E0">
        <w:rPr>
          <w:rFonts w:cstheme="minorHAnsi"/>
        </w:rPr>
        <w:t>would</w:t>
      </w:r>
      <w:r w:rsidR="004779EC" w:rsidRPr="00E776E0">
        <w:rPr>
          <w:rFonts w:cstheme="minorHAnsi"/>
        </w:rPr>
        <w:t xml:space="preserve"> </w:t>
      </w:r>
      <w:r w:rsidR="00BE0806" w:rsidRPr="00E776E0">
        <w:rPr>
          <w:rFonts w:cstheme="minorHAnsi"/>
        </w:rPr>
        <w:t>constitute</w:t>
      </w:r>
      <w:r w:rsidR="000C3A90" w:rsidRPr="00E776E0">
        <w:rPr>
          <w:rFonts w:cstheme="minorHAnsi"/>
        </w:rPr>
        <w:t xml:space="preserve"> a three-way process for collating</w:t>
      </w:r>
      <w:r w:rsidR="00FD7A8B" w:rsidRPr="00E776E0">
        <w:rPr>
          <w:rFonts w:cstheme="minorHAnsi"/>
        </w:rPr>
        <w:t xml:space="preserve"> existing </w:t>
      </w:r>
      <w:r w:rsidR="000C3A90" w:rsidRPr="00E776E0">
        <w:rPr>
          <w:rFonts w:cstheme="minorHAnsi"/>
        </w:rPr>
        <w:t xml:space="preserve">relevant </w:t>
      </w:r>
      <w:r w:rsidR="00FD7A8B" w:rsidRPr="00E776E0">
        <w:rPr>
          <w:rFonts w:cstheme="minorHAnsi"/>
        </w:rPr>
        <w:t xml:space="preserve">evidence relevant </w:t>
      </w:r>
      <w:r w:rsidR="00BB65CA" w:rsidRPr="00E776E0">
        <w:rPr>
          <w:rFonts w:cstheme="minorHAnsi"/>
        </w:rPr>
        <w:t>through:</w:t>
      </w:r>
    </w:p>
    <w:p w14:paraId="1A5EED82" w14:textId="61AC9946" w:rsidR="00717FFA" w:rsidRPr="00E776E0" w:rsidRDefault="00D06B21" w:rsidP="000C3A90">
      <w:pPr>
        <w:pStyle w:val="ListParagraph"/>
        <w:widowControl w:val="0"/>
        <w:numPr>
          <w:ilvl w:val="0"/>
          <w:numId w:val="18"/>
        </w:numPr>
        <w:autoSpaceDE w:val="0"/>
        <w:autoSpaceDN w:val="0"/>
        <w:adjustRightInd w:val="0"/>
        <w:spacing w:after="240"/>
        <w:rPr>
          <w:rFonts w:cstheme="minorHAnsi"/>
        </w:rPr>
      </w:pPr>
      <w:r w:rsidRPr="00E776E0">
        <w:rPr>
          <w:rFonts w:cstheme="minorHAnsi"/>
        </w:rPr>
        <w:t>a</w:t>
      </w:r>
      <w:r w:rsidR="00717FFA" w:rsidRPr="00E776E0">
        <w:rPr>
          <w:rFonts w:cstheme="minorHAnsi"/>
        </w:rPr>
        <w:t>n extensive literature review of academic and policy documents</w:t>
      </w:r>
      <w:r w:rsidR="00C97087" w:rsidRPr="00E776E0">
        <w:rPr>
          <w:rFonts w:cstheme="minorHAnsi"/>
        </w:rPr>
        <w:t xml:space="preserve"> (</w:t>
      </w:r>
      <w:r w:rsidR="00BB65CA" w:rsidRPr="00E776E0">
        <w:rPr>
          <w:rFonts w:cstheme="minorHAnsi"/>
        </w:rPr>
        <w:t>Feb-May 2018</w:t>
      </w:r>
      <w:r w:rsidR="00C97087" w:rsidRPr="00E776E0">
        <w:rPr>
          <w:rFonts w:cstheme="minorHAnsi"/>
        </w:rPr>
        <w:t>)</w:t>
      </w:r>
      <w:r w:rsidR="00717FFA" w:rsidRPr="00E776E0">
        <w:rPr>
          <w:rFonts w:cstheme="minorHAnsi"/>
        </w:rPr>
        <w:t xml:space="preserve">, </w:t>
      </w:r>
    </w:p>
    <w:p w14:paraId="592D9610" w14:textId="5D7C54C5" w:rsidR="00717FFA" w:rsidRPr="00E776E0" w:rsidRDefault="00D06B21" w:rsidP="000C3A90">
      <w:pPr>
        <w:pStyle w:val="ListParagraph"/>
        <w:widowControl w:val="0"/>
        <w:numPr>
          <w:ilvl w:val="0"/>
          <w:numId w:val="18"/>
        </w:numPr>
        <w:autoSpaceDE w:val="0"/>
        <w:autoSpaceDN w:val="0"/>
        <w:adjustRightInd w:val="0"/>
        <w:spacing w:after="240"/>
        <w:rPr>
          <w:rFonts w:cstheme="minorHAnsi"/>
        </w:rPr>
      </w:pPr>
      <w:r w:rsidRPr="00E776E0">
        <w:rPr>
          <w:rFonts w:cstheme="minorHAnsi"/>
        </w:rPr>
        <w:t>w</w:t>
      </w:r>
      <w:r w:rsidR="00717FFA" w:rsidRPr="00E776E0">
        <w:rPr>
          <w:rFonts w:cstheme="minorHAnsi"/>
        </w:rPr>
        <w:t xml:space="preserve">ritten contributions </w:t>
      </w:r>
      <w:r w:rsidR="00B519A6" w:rsidRPr="00E776E0">
        <w:rPr>
          <w:rFonts w:cstheme="minorHAnsi"/>
        </w:rPr>
        <w:t xml:space="preserve">and case-studies </w:t>
      </w:r>
      <w:r w:rsidR="00717FFA" w:rsidRPr="00E776E0">
        <w:rPr>
          <w:rFonts w:cstheme="minorHAnsi"/>
        </w:rPr>
        <w:t xml:space="preserve">submitted </w:t>
      </w:r>
      <w:r w:rsidR="00C97087" w:rsidRPr="00E776E0">
        <w:rPr>
          <w:rFonts w:cstheme="minorHAnsi"/>
        </w:rPr>
        <w:t>by</w:t>
      </w:r>
      <w:r w:rsidR="00717FFA" w:rsidRPr="00E776E0">
        <w:rPr>
          <w:rFonts w:cstheme="minorHAnsi"/>
        </w:rPr>
        <w:t xml:space="preserve"> partner humanitarian </w:t>
      </w:r>
      <w:r w:rsidR="00BE0806" w:rsidRPr="00E776E0">
        <w:rPr>
          <w:rFonts w:cstheme="minorHAnsi"/>
        </w:rPr>
        <w:t>organizations</w:t>
      </w:r>
      <w:r w:rsidR="00717FFA" w:rsidRPr="00E776E0">
        <w:rPr>
          <w:rFonts w:cstheme="minorHAnsi"/>
        </w:rPr>
        <w:t xml:space="preserve"> (both secular and faith-based)</w:t>
      </w:r>
      <w:r w:rsidR="00C97087" w:rsidRPr="00E776E0">
        <w:rPr>
          <w:rFonts w:cstheme="minorHAnsi"/>
        </w:rPr>
        <w:t xml:space="preserve"> </w:t>
      </w:r>
      <w:r w:rsidR="00882194" w:rsidRPr="00E776E0">
        <w:rPr>
          <w:rFonts w:cstheme="minorHAnsi"/>
        </w:rPr>
        <w:t xml:space="preserve">and key policy-makers </w:t>
      </w:r>
      <w:r w:rsidR="00C97087" w:rsidRPr="00E776E0">
        <w:rPr>
          <w:rFonts w:cstheme="minorHAnsi"/>
        </w:rPr>
        <w:t>(</w:t>
      </w:r>
      <w:r w:rsidR="00BB65CA" w:rsidRPr="00E776E0">
        <w:rPr>
          <w:rFonts w:cstheme="minorHAnsi"/>
        </w:rPr>
        <w:t>A</w:t>
      </w:r>
      <w:r w:rsidR="00E776E0">
        <w:rPr>
          <w:rFonts w:cstheme="minorHAnsi"/>
        </w:rPr>
        <w:t>p</w:t>
      </w:r>
      <w:r w:rsidR="00BB65CA" w:rsidRPr="00E776E0">
        <w:rPr>
          <w:rFonts w:cstheme="minorHAnsi"/>
        </w:rPr>
        <w:t>ril-July 2018</w:t>
      </w:r>
      <w:r w:rsidR="00C97087" w:rsidRPr="00E776E0">
        <w:rPr>
          <w:rFonts w:cstheme="minorHAnsi"/>
        </w:rPr>
        <w:t>)</w:t>
      </w:r>
      <w:r w:rsidR="00717FFA" w:rsidRPr="00E776E0">
        <w:rPr>
          <w:rFonts w:cstheme="minorHAnsi"/>
        </w:rPr>
        <w:t xml:space="preserve">, and </w:t>
      </w:r>
    </w:p>
    <w:p w14:paraId="4981421E" w14:textId="32DBD29D" w:rsidR="00717FFA" w:rsidRPr="00E776E0" w:rsidRDefault="00D06B21" w:rsidP="000C3A90">
      <w:pPr>
        <w:pStyle w:val="ListParagraph"/>
        <w:widowControl w:val="0"/>
        <w:numPr>
          <w:ilvl w:val="0"/>
          <w:numId w:val="18"/>
        </w:numPr>
        <w:autoSpaceDE w:val="0"/>
        <w:autoSpaceDN w:val="0"/>
        <w:adjustRightInd w:val="0"/>
        <w:spacing w:after="240"/>
        <w:rPr>
          <w:rFonts w:cstheme="minorHAnsi"/>
        </w:rPr>
      </w:pPr>
      <w:r w:rsidRPr="00E776E0">
        <w:rPr>
          <w:rFonts w:cstheme="minorHAnsi"/>
        </w:rPr>
        <w:t>s</w:t>
      </w:r>
      <w:r w:rsidR="00717FFA" w:rsidRPr="00E776E0">
        <w:rPr>
          <w:rFonts w:cstheme="minorHAnsi"/>
        </w:rPr>
        <w:t xml:space="preserve">emi-structured interviews conducted with circa </w:t>
      </w:r>
      <w:r w:rsidR="00B33C5A" w:rsidRPr="00E776E0">
        <w:rPr>
          <w:rFonts w:cstheme="minorHAnsi"/>
        </w:rPr>
        <w:t>2</w:t>
      </w:r>
      <w:r w:rsidR="00717FFA" w:rsidRPr="00E776E0">
        <w:rPr>
          <w:rFonts w:cstheme="minorHAnsi"/>
        </w:rPr>
        <w:t>0 practitioners</w:t>
      </w:r>
      <w:r w:rsidR="00882194" w:rsidRPr="00E776E0">
        <w:rPr>
          <w:rFonts w:cstheme="minorHAnsi"/>
        </w:rPr>
        <w:t>, policy-makers</w:t>
      </w:r>
      <w:r w:rsidR="00717FFA" w:rsidRPr="00E776E0">
        <w:rPr>
          <w:rFonts w:cstheme="minorHAnsi"/>
        </w:rPr>
        <w:t xml:space="preserve"> and faith leaders </w:t>
      </w:r>
      <w:r w:rsidR="00F161FB" w:rsidRPr="00E776E0">
        <w:rPr>
          <w:rFonts w:cstheme="minorHAnsi"/>
        </w:rPr>
        <w:t>predominantly based in the global south (August-October 2018)</w:t>
      </w:r>
    </w:p>
    <w:p w14:paraId="21C172F0" w14:textId="73773780" w:rsidR="00FD2AEA" w:rsidRPr="00E776E0" w:rsidRDefault="00717FFA" w:rsidP="00B11779">
      <w:pPr>
        <w:widowControl w:val="0"/>
        <w:autoSpaceDE w:val="0"/>
        <w:autoSpaceDN w:val="0"/>
        <w:adjustRightInd w:val="0"/>
        <w:spacing w:after="240"/>
        <w:rPr>
          <w:rFonts w:cstheme="minorHAnsi"/>
        </w:rPr>
      </w:pPr>
      <w:r w:rsidRPr="00E776E0">
        <w:rPr>
          <w:rFonts w:cstheme="minorHAnsi"/>
        </w:rPr>
        <w:t xml:space="preserve">The literature review, </w:t>
      </w:r>
      <w:r w:rsidR="007D503A" w:rsidRPr="00E776E0">
        <w:rPr>
          <w:rFonts w:cstheme="minorHAnsi"/>
        </w:rPr>
        <w:t>case studies</w:t>
      </w:r>
      <w:r w:rsidRPr="00E776E0">
        <w:rPr>
          <w:rFonts w:cstheme="minorHAnsi"/>
        </w:rPr>
        <w:t xml:space="preserve"> and interviews </w:t>
      </w:r>
      <w:r w:rsidR="008F3926" w:rsidRPr="00E776E0">
        <w:rPr>
          <w:rFonts w:cstheme="minorHAnsi"/>
        </w:rPr>
        <w:t>will</w:t>
      </w:r>
      <w:r w:rsidR="00D6426E" w:rsidRPr="00E776E0">
        <w:rPr>
          <w:rFonts w:cstheme="minorHAnsi"/>
        </w:rPr>
        <w:t xml:space="preserve"> </w:t>
      </w:r>
      <w:r w:rsidR="00FD2AEA" w:rsidRPr="00E776E0">
        <w:rPr>
          <w:rFonts w:cstheme="minorHAnsi"/>
        </w:rPr>
        <w:t>aim to</w:t>
      </w:r>
      <w:r w:rsidR="00C97087" w:rsidRPr="00E776E0">
        <w:rPr>
          <w:rFonts w:cstheme="minorHAnsi"/>
        </w:rPr>
        <w:t xml:space="preserve"> </w:t>
      </w:r>
      <w:r w:rsidR="00FD2AEA" w:rsidRPr="00E776E0">
        <w:rPr>
          <w:rFonts w:cstheme="minorHAnsi"/>
        </w:rPr>
        <w:t>answer the following questions</w:t>
      </w:r>
      <w:r w:rsidR="003E0752" w:rsidRPr="00E776E0">
        <w:rPr>
          <w:rFonts w:cstheme="minorHAnsi"/>
        </w:rPr>
        <w:t xml:space="preserve">: </w:t>
      </w:r>
      <w:r w:rsidR="00FD2AEA" w:rsidRPr="00E776E0">
        <w:rPr>
          <w:rFonts w:cstheme="minorHAnsi"/>
        </w:rPr>
        <w:t xml:space="preserve"> </w:t>
      </w:r>
    </w:p>
    <w:p w14:paraId="4529432F" w14:textId="71CB8767" w:rsidR="00EA3092" w:rsidRPr="00E776E0" w:rsidRDefault="00EA3092" w:rsidP="00FD2AEA">
      <w:pPr>
        <w:pStyle w:val="NormalWeb"/>
        <w:numPr>
          <w:ilvl w:val="0"/>
          <w:numId w:val="10"/>
        </w:numPr>
        <w:rPr>
          <w:rFonts w:asciiTheme="minorHAnsi" w:hAnsiTheme="minorHAnsi" w:cstheme="minorHAnsi"/>
        </w:rPr>
      </w:pPr>
      <w:r w:rsidRPr="00E776E0">
        <w:rPr>
          <w:rFonts w:asciiTheme="minorHAnsi" w:hAnsiTheme="minorHAnsi" w:cstheme="minorHAnsi"/>
        </w:rPr>
        <w:t xml:space="preserve">What evidence exists for the unique </w:t>
      </w:r>
      <w:r w:rsidR="00C50BAF" w:rsidRPr="00E776E0">
        <w:rPr>
          <w:rFonts w:asciiTheme="minorHAnsi" w:hAnsiTheme="minorHAnsi" w:cstheme="minorHAnsi"/>
        </w:rPr>
        <w:t>contributions</w:t>
      </w:r>
      <w:r w:rsidRPr="00E776E0">
        <w:rPr>
          <w:rFonts w:asciiTheme="minorHAnsi" w:hAnsiTheme="minorHAnsi" w:cstheme="minorHAnsi"/>
        </w:rPr>
        <w:t xml:space="preserve"> that faith </w:t>
      </w:r>
      <w:r w:rsidR="00C50BAF" w:rsidRPr="00E776E0">
        <w:rPr>
          <w:rFonts w:asciiTheme="minorHAnsi" w:hAnsiTheme="minorHAnsi" w:cstheme="minorHAnsi"/>
        </w:rPr>
        <w:t>communities</w:t>
      </w:r>
      <w:r w:rsidRPr="00E776E0">
        <w:rPr>
          <w:rFonts w:asciiTheme="minorHAnsi" w:hAnsiTheme="minorHAnsi" w:cstheme="minorHAnsi"/>
        </w:rPr>
        <w:t xml:space="preserve"> have made </w:t>
      </w:r>
      <w:r w:rsidR="00C50BAF" w:rsidRPr="00E776E0">
        <w:rPr>
          <w:rFonts w:asciiTheme="minorHAnsi" w:hAnsiTheme="minorHAnsi" w:cstheme="minorHAnsi"/>
        </w:rPr>
        <w:t>to</w:t>
      </w:r>
      <w:r w:rsidRPr="00E776E0">
        <w:rPr>
          <w:rFonts w:asciiTheme="minorHAnsi" w:hAnsiTheme="minorHAnsi" w:cstheme="minorHAnsi"/>
        </w:rPr>
        <w:t xml:space="preserve"> EVAC?</w:t>
      </w:r>
    </w:p>
    <w:p w14:paraId="47EA142D" w14:textId="3441AD12" w:rsidR="00F46610" w:rsidRPr="00E776E0" w:rsidRDefault="00F46610" w:rsidP="00F46610">
      <w:pPr>
        <w:pStyle w:val="NormalWeb"/>
        <w:numPr>
          <w:ilvl w:val="1"/>
          <w:numId w:val="10"/>
        </w:numPr>
        <w:rPr>
          <w:rFonts w:asciiTheme="minorHAnsi" w:hAnsiTheme="minorHAnsi" w:cstheme="minorHAnsi"/>
        </w:rPr>
      </w:pPr>
      <w:r w:rsidRPr="00E776E0">
        <w:rPr>
          <w:rFonts w:asciiTheme="minorHAnsi" w:hAnsiTheme="minorHAnsi" w:cstheme="minorHAnsi"/>
        </w:rPr>
        <w:t xml:space="preserve">What evidence exists for contributions of faith communities to </w:t>
      </w:r>
      <w:r w:rsidR="00B8014D" w:rsidRPr="00E776E0">
        <w:rPr>
          <w:rFonts w:asciiTheme="minorHAnsi" w:hAnsiTheme="minorHAnsi" w:cstheme="minorHAnsi"/>
        </w:rPr>
        <w:t>the elimination of violence against children</w:t>
      </w:r>
      <w:r w:rsidRPr="00E776E0">
        <w:rPr>
          <w:rFonts w:asciiTheme="minorHAnsi" w:hAnsiTheme="minorHAnsi" w:cstheme="minorHAnsi"/>
        </w:rPr>
        <w:t>?</w:t>
      </w:r>
    </w:p>
    <w:p w14:paraId="7A508A14" w14:textId="0CB2F192" w:rsidR="00EA3092" w:rsidRPr="00E776E0" w:rsidRDefault="00EA3092" w:rsidP="00F46610">
      <w:pPr>
        <w:pStyle w:val="NormalWeb"/>
        <w:numPr>
          <w:ilvl w:val="1"/>
          <w:numId w:val="10"/>
        </w:numPr>
        <w:rPr>
          <w:rFonts w:asciiTheme="minorHAnsi" w:hAnsiTheme="minorHAnsi" w:cstheme="minorHAnsi"/>
        </w:rPr>
      </w:pPr>
      <w:r w:rsidRPr="00E776E0">
        <w:rPr>
          <w:rFonts w:asciiTheme="minorHAnsi" w:hAnsiTheme="minorHAnsi" w:cstheme="minorHAnsi"/>
        </w:rPr>
        <w:t xml:space="preserve">What evidence exists for </w:t>
      </w:r>
      <w:r w:rsidR="00C50BAF" w:rsidRPr="00E776E0">
        <w:rPr>
          <w:rFonts w:asciiTheme="minorHAnsi" w:hAnsiTheme="minorHAnsi" w:cstheme="minorHAnsi"/>
        </w:rPr>
        <w:t>the perpetuation</w:t>
      </w:r>
      <w:r w:rsidR="002121A3" w:rsidRPr="00E776E0">
        <w:rPr>
          <w:rFonts w:asciiTheme="minorHAnsi" w:hAnsiTheme="minorHAnsi" w:cstheme="minorHAnsi"/>
        </w:rPr>
        <w:t xml:space="preserve"> of </w:t>
      </w:r>
      <w:r w:rsidR="00CC7905" w:rsidRPr="00E776E0">
        <w:rPr>
          <w:rFonts w:asciiTheme="minorHAnsi" w:hAnsiTheme="minorHAnsi" w:cstheme="minorHAnsi"/>
        </w:rPr>
        <w:t xml:space="preserve">violence </w:t>
      </w:r>
      <w:r w:rsidR="00BE0806" w:rsidRPr="00E776E0">
        <w:rPr>
          <w:rFonts w:asciiTheme="minorHAnsi" w:hAnsiTheme="minorHAnsi" w:cstheme="minorHAnsi"/>
        </w:rPr>
        <w:t>against</w:t>
      </w:r>
      <w:r w:rsidR="00CC7905" w:rsidRPr="00E776E0">
        <w:rPr>
          <w:rFonts w:asciiTheme="minorHAnsi" w:hAnsiTheme="minorHAnsi" w:cstheme="minorHAnsi"/>
        </w:rPr>
        <w:t xml:space="preserve"> children</w:t>
      </w:r>
      <w:r w:rsidRPr="00E776E0">
        <w:rPr>
          <w:rFonts w:asciiTheme="minorHAnsi" w:hAnsiTheme="minorHAnsi" w:cstheme="minorHAnsi"/>
        </w:rPr>
        <w:t xml:space="preserve"> that fait</w:t>
      </w:r>
      <w:r w:rsidR="002121A3" w:rsidRPr="00E776E0">
        <w:rPr>
          <w:rFonts w:asciiTheme="minorHAnsi" w:hAnsiTheme="minorHAnsi" w:cstheme="minorHAnsi"/>
        </w:rPr>
        <w:t xml:space="preserve">h </w:t>
      </w:r>
      <w:r w:rsidR="00C50BAF" w:rsidRPr="00E776E0">
        <w:rPr>
          <w:rFonts w:asciiTheme="minorHAnsi" w:hAnsiTheme="minorHAnsi" w:cstheme="minorHAnsi"/>
        </w:rPr>
        <w:t>communities</w:t>
      </w:r>
      <w:r w:rsidR="002121A3" w:rsidRPr="00E776E0">
        <w:rPr>
          <w:rFonts w:asciiTheme="minorHAnsi" w:hAnsiTheme="minorHAnsi" w:cstheme="minorHAnsi"/>
        </w:rPr>
        <w:t xml:space="preserve"> have been involved in?</w:t>
      </w:r>
    </w:p>
    <w:p w14:paraId="2E5A6C77" w14:textId="49C5EADD" w:rsidR="00C81A82" w:rsidRPr="00E776E0" w:rsidRDefault="00C81A82" w:rsidP="00EA3092">
      <w:pPr>
        <w:pStyle w:val="NormalWeb"/>
        <w:numPr>
          <w:ilvl w:val="0"/>
          <w:numId w:val="10"/>
        </w:numPr>
        <w:rPr>
          <w:rFonts w:asciiTheme="minorHAnsi" w:hAnsiTheme="minorHAnsi" w:cstheme="minorHAnsi"/>
        </w:rPr>
      </w:pPr>
      <w:r w:rsidRPr="00E776E0">
        <w:rPr>
          <w:rFonts w:asciiTheme="minorHAnsi" w:hAnsiTheme="minorHAnsi" w:cstheme="minorHAnsi"/>
        </w:rPr>
        <w:t xml:space="preserve">What </w:t>
      </w:r>
      <w:r w:rsidR="00600681" w:rsidRPr="00E776E0">
        <w:rPr>
          <w:rFonts w:asciiTheme="minorHAnsi" w:hAnsiTheme="minorHAnsi" w:cstheme="minorHAnsi"/>
        </w:rPr>
        <w:t>underlying beliefs and assumptions</w:t>
      </w:r>
      <w:r w:rsidRPr="00E776E0">
        <w:rPr>
          <w:rFonts w:asciiTheme="minorHAnsi" w:hAnsiTheme="minorHAnsi" w:cstheme="minorHAnsi"/>
        </w:rPr>
        <w:t xml:space="preserve"> drive these unique </w:t>
      </w:r>
      <w:r w:rsidR="00C50BAF" w:rsidRPr="00E776E0">
        <w:rPr>
          <w:rFonts w:asciiTheme="minorHAnsi" w:hAnsiTheme="minorHAnsi" w:cstheme="minorHAnsi"/>
        </w:rPr>
        <w:t>contributions</w:t>
      </w:r>
      <w:r w:rsidRPr="00E776E0">
        <w:rPr>
          <w:rFonts w:asciiTheme="minorHAnsi" w:hAnsiTheme="minorHAnsi" w:cstheme="minorHAnsi"/>
        </w:rPr>
        <w:t xml:space="preserve"> to EVAC as well as their </w:t>
      </w:r>
      <w:r w:rsidR="00C50BAF" w:rsidRPr="00E776E0">
        <w:rPr>
          <w:rFonts w:asciiTheme="minorHAnsi" w:hAnsiTheme="minorHAnsi" w:cstheme="minorHAnsi"/>
        </w:rPr>
        <w:t>contributions</w:t>
      </w:r>
      <w:r w:rsidRPr="00E776E0">
        <w:rPr>
          <w:rFonts w:asciiTheme="minorHAnsi" w:hAnsiTheme="minorHAnsi" w:cstheme="minorHAnsi"/>
        </w:rPr>
        <w:t>?</w:t>
      </w:r>
    </w:p>
    <w:p w14:paraId="24BCC197" w14:textId="6A6E2117" w:rsidR="00EA3092" w:rsidRPr="00E776E0" w:rsidRDefault="002121A3" w:rsidP="00FD2AEA">
      <w:pPr>
        <w:pStyle w:val="NormalWeb"/>
        <w:numPr>
          <w:ilvl w:val="0"/>
          <w:numId w:val="10"/>
        </w:numPr>
        <w:rPr>
          <w:rFonts w:asciiTheme="minorHAnsi" w:hAnsiTheme="minorHAnsi" w:cstheme="minorHAnsi"/>
        </w:rPr>
      </w:pPr>
      <w:r w:rsidRPr="00E776E0">
        <w:rPr>
          <w:rFonts w:asciiTheme="minorHAnsi" w:hAnsiTheme="minorHAnsi" w:cstheme="minorHAnsi"/>
        </w:rPr>
        <w:t xml:space="preserve">To what extent </w:t>
      </w:r>
      <w:r w:rsidR="005557AF" w:rsidRPr="00E776E0">
        <w:rPr>
          <w:rFonts w:asciiTheme="minorHAnsi" w:hAnsiTheme="minorHAnsi" w:cstheme="minorHAnsi"/>
        </w:rPr>
        <w:t xml:space="preserve">and through what types of mechanisms </w:t>
      </w:r>
      <w:r w:rsidRPr="00E776E0">
        <w:rPr>
          <w:rFonts w:asciiTheme="minorHAnsi" w:hAnsiTheme="minorHAnsi" w:cstheme="minorHAnsi"/>
        </w:rPr>
        <w:t xml:space="preserve">are faith </w:t>
      </w:r>
      <w:r w:rsidR="008E1A61" w:rsidRPr="00E776E0">
        <w:rPr>
          <w:rFonts w:asciiTheme="minorHAnsi" w:hAnsiTheme="minorHAnsi" w:cstheme="minorHAnsi"/>
        </w:rPr>
        <w:t>actors</w:t>
      </w:r>
      <w:r w:rsidRPr="00E776E0">
        <w:rPr>
          <w:rFonts w:asciiTheme="minorHAnsi" w:hAnsiTheme="minorHAnsi" w:cstheme="minorHAnsi"/>
        </w:rPr>
        <w:t xml:space="preserve"> involved in </w:t>
      </w:r>
      <w:r w:rsidR="00C81A82" w:rsidRPr="00E776E0">
        <w:rPr>
          <w:rFonts w:asciiTheme="minorHAnsi" w:hAnsiTheme="minorHAnsi" w:cstheme="minorHAnsi"/>
        </w:rPr>
        <w:t xml:space="preserve">formal and informal child protection </w:t>
      </w:r>
      <w:r w:rsidR="00C50BAF" w:rsidRPr="00E776E0">
        <w:rPr>
          <w:rFonts w:asciiTheme="minorHAnsi" w:hAnsiTheme="minorHAnsi" w:cstheme="minorHAnsi"/>
        </w:rPr>
        <w:t>systems</w:t>
      </w:r>
      <w:r w:rsidR="00C81A82" w:rsidRPr="00E776E0">
        <w:rPr>
          <w:rFonts w:asciiTheme="minorHAnsi" w:hAnsiTheme="minorHAnsi" w:cstheme="minorHAnsi"/>
        </w:rPr>
        <w:t>?</w:t>
      </w:r>
    </w:p>
    <w:p w14:paraId="683FAE3A" w14:textId="66BCC3FF" w:rsidR="00EA3092" w:rsidRPr="00E776E0" w:rsidRDefault="00C81A82" w:rsidP="00665FD8">
      <w:pPr>
        <w:pStyle w:val="NormalWeb"/>
        <w:numPr>
          <w:ilvl w:val="1"/>
          <w:numId w:val="10"/>
        </w:numPr>
        <w:rPr>
          <w:rFonts w:asciiTheme="minorHAnsi" w:hAnsiTheme="minorHAnsi" w:cstheme="minorHAnsi"/>
        </w:rPr>
      </w:pPr>
      <w:r w:rsidRPr="00E776E0">
        <w:rPr>
          <w:rFonts w:asciiTheme="minorHAnsi" w:hAnsiTheme="minorHAnsi" w:cstheme="minorHAnsi"/>
        </w:rPr>
        <w:t xml:space="preserve">How effective is this </w:t>
      </w:r>
      <w:r w:rsidR="00C50BAF" w:rsidRPr="00E776E0">
        <w:rPr>
          <w:rFonts w:asciiTheme="minorHAnsi" w:hAnsiTheme="minorHAnsi" w:cstheme="minorHAnsi"/>
        </w:rPr>
        <w:t>involvement</w:t>
      </w:r>
      <w:r w:rsidRPr="00E776E0">
        <w:rPr>
          <w:rFonts w:asciiTheme="minorHAnsi" w:hAnsiTheme="minorHAnsi" w:cstheme="minorHAnsi"/>
        </w:rPr>
        <w:t xml:space="preserve"> and how could it be enhanced?</w:t>
      </w:r>
    </w:p>
    <w:p w14:paraId="47665EF8" w14:textId="6A60DB71" w:rsidR="004779EC" w:rsidRPr="00E776E0" w:rsidRDefault="00FD2AEA" w:rsidP="00B11779">
      <w:pPr>
        <w:widowControl w:val="0"/>
        <w:autoSpaceDE w:val="0"/>
        <w:autoSpaceDN w:val="0"/>
        <w:adjustRightInd w:val="0"/>
        <w:spacing w:after="240"/>
        <w:rPr>
          <w:rFonts w:cstheme="minorHAnsi"/>
        </w:rPr>
      </w:pPr>
      <w:r w:rsidRPr="00E776E0">
        <w:rPr>
          <w:rFonts w:cstheme="minorHAnsi"/>
        </w:rPr>
        <w:t xml:space="preserve">To answer these and other questions, the scoping research will </w:t>
      </w:r>
      <w:r w:rsidR="008F3926" w:rsidRPr="00E776E0">
        <w:rPr>
          <w:rFonts w:cstheme="minorHAnsi"/>
        </w:rPr>
        <w:t>identify</w:t>
      </w:r>
      <w:r w:rsidR="00717FFA" w:rsidRPr="00E776E0">
        <w:rPr>
          <w:rFonts w:cstheme="minorHAnsi"/>
        </w:rPr>
        <w:t xml:space="preserve"> evidence </w:t>
      </w:r>
      <w:r w:rsidR="005B34E2" w:rsidRPr="00E776E0">
        <w:rPr>
          <w:rFonts w:cstheme="minorHAnsi"/>
        </w:rPr>
        <w:t>w</w:t>
      </w:r>
      <w:r w:rsidR="00717FFA" w:rsidRPr="00E776E0">
        <w:rPr>
          <w:rFonts w:cstheme="minorHAnsi"/>
        </w:rPr>
        <w:t>ith regards to</w:t>
      </w:r>
      <w:r w:rsidR="008F3926" w:rsidRPr="00E776E0">
        <w:rPr>
          <w:rFonts w:cstheme="minorHAnsi"/>
        </w:rPr>
        <w:t xml:space="preserve"> topics including</w:t>
      </w:r>
      <w:r w:rsidR="00717FFA" w:rsidRPr="00E776E0">
        <w:rPr>
          <w:rFonts w:cstheme="minorHAnsi"/>
        </w:rPr>
        <w:t xml:space="preserve">: </w:t>
      </w:r>
      <w:r w:rsidR="00FD7A8B" w:rsidRPr="00E776E0">
        <w:rPr>
          <w:rFonts w:cstheme="minorHAnsi"/>
        </w:rPr>
        <w:t xml:space="preserve"> </w:t>
      </w:r>
    </w:p>
    <w:p w14:paraId="271CBD35" w14:textId="44757C6F" w:rsidR="00FD2AEA" w:rsidRPr="00E776E0" w:rsidRDefault="005B34E2" w:rsidP="005B34E2">
      <w:pPr>
        <w:pStyle w:val="ListParagraph"/>
        <w:numPr>
          <w:ilvl w:val="0"/>
          <w:numId w:val="15"/>
        </w:numPr>
        <w:rPr>
          <w:rFonts w:cstheme="minorHAnsi"/>
        </w:rPr>
      </w:pPr>
      <w:r w:rsidRPr="00E776E0">
        <w:rPr>
          <w:rFonts w:cstheme="minorHAnsi"/>
        </w:rPr>
        <w:t>Types of initia</w:t>
      </w:r>
      <w:r w:rsidR="00C50BAF" w:rsidRPr="00E776E0">
        <w:rPr>
          <w:rFonts w:cstheme="minorHAnsi"/>
        </w:rPr>
        <w:t>ti</w:t>
      </w:r>
      <w:r w:rsidRPr="00E776E0">
        <w:rPr>
          <w:rFonts w:cstheme="minorHAnsi"/>
        </w:rPr>
        <w:t xml:space="preserve">ves </w:t>
      </w:r>
      <w:r w:rsidR="00C50BAF" w:rsidRPr="00E776E0">
        <w:rPr>
          <w:rFonts w:cstheme="minorHAnsi"/>
        </w:rPr>
        <w:t>undertaken</w:t>
      </w:r>
      <w:r w:rsidRPr="00E776E0">
        <w:rPr>
          <w:rFonts w:cstheme="minorHAnsi"/>
        </w:rPr>
        <w:t xml:space="preserve"> by faith communities to contribute </w:t>
      </w:r>
      <w:r w:rsidR="00C50BAF" w:rsidRPr="00E776E0">
        <w:rPr>
          <w:rFonts w:cstheme="minorHAnsi"/>
        </w:rPr>
        <w:t>to</w:t>
      </w:r>
      <w:r w:rsidRPr="00E776E0">
        <w:rPr>
          <w:rFonts w:cstheme="minorHAnsi"/>
        </w:rPr>
        <w:t xml:space="preserve"> EVAC</w:t>
      </w:r>
    </w:p>
    <w:p w14:paraId="0230729C" w14:textId="2C09A055" w:rsidR="00CF45EC" w:rsidRPr="00E776E0" w:rsidRDefault="005B34E2" w:rsidP="005C6DFC">
      <w:pPr>
        <w:pStyle w:val="ListParagraph"/>
        <w:numPr>
          <w:ilvl w:val="0"/>
          <w:numId w:val="15"/>
        </w:numPr>
        <w:rPr>
          <w:rFonts w:cstheme="minorHAnsi"/>
        </w:rPr>
      </w:pPr>
      <w:r w:rsidRPr="00E776E0">
        <w:rPr>
          <w:rFonts w:cstheme="minorHAnsi"/>
        </w:rPr>
        <w:t xml:space="preserve">Types of </w:t>
      </w:r>
      <w:r w:rsidR="00C50BAF" w:rsidRPr="00E776E0">
        <w:rPr>
          <w:rFonts w:cstheme="minorHAnsi"/>
        </w:rPr>
        <w:t>violence</w:t>
      </w:r>
      <w:r w:rsidRPr="00E776E0">
        <w:rPr>
          <w:rFonts w:cstheme="minorHAnsi"/>
        </w:rPr>
        <w:t xml:space="preserve"> </w:t>
      </w:r>
      <w:r w:rsidR="00022C30" w:rsidRPr="00E776E0">
        <w:rPr>
          <w:rFonts w:cstheme="minorHAnsi"/>
        </w:rPr>
        <w:t>against children of particular concern (</w:t>
      </w:r>
      <w:r w:rsidR="0071183D" w:rsidRPr="00E776E0">
        <w:rPr>
          <w:rFonts w:cstheme="minorHAnsi"/>
        </w:rPr>
        <w:t>e.g</w:t>
      </w:r>
      <w:r w:rsidR="00022C30" w:rsidRPr="00E776E0">
        <w:rPr>
          <w:rFonts w:cstheme="minorHAnsi"/>
        </w:rPr>
        <w:t xml:space="preserve">. </w:t>
      </w:r>
      <w:r w:rsidR="00CF45EC" w:rsidRPr="00E776E0">
        <w:rPr>
          <w:rFonts w:cstheme="minorHAnsi"/>
        </w:rPr>
        <w:t>violent discipline</w:t>
      </w:r>
      <w:r w:rsidR="00CC7905" w:rsidRPr="00E776E0">
        <w:rPr>
          <w:rFonts w:cstheme="minorHAnsi"/>
        </w:rPr>
        <w:t xml:space="preserve">, </w:t>
      </w:r>
      <w:r w:rsidR="005C6DFC" w:rsidRPr="00E776E0">
        <w:rPr>
          <w:rFonts w:cstheme="minorHAnsi"/>
        </w:rPr>
        <w:t>use of fear etc.)</w:t>
      </w:r>
    </w:p>
    <w:p w14:paraId="344BCF2F" w14:textId="77777777" w:rsidR="003524CB" w:rsidRPr="00E776E0" w:rsidRDefault="003524CB" w:rsidP="00B11779">
      <w:pPr>
        <w:rPr>
          <w:rFonts w:cstheme="minorHAnsi"/>
        </w:rPr>
      </w:pPr>
    </w:p>
    <w:p w14:paraId="4E5CCD84" w14:textId="6EEF4419" w:rsidR="005A707E" w:rsidRPr="00E776E0" w:rsidRDefault="00B11779" w:rsidP="00FD2AEA">
      <w:pPr>
        <w:rPr>
          <w:rFonts w:cstheme="minorHAnsi"/>
        </w:rPr>
      </w:pPr>
      <w:r w:rsidRPr="00E776E0">
        <w:rPr>
          <w:rFonts w:cstheme="minorHAnsi"/>
        </w:rPr>
        <w:t xml:space="preserve">The search for evidence will </w:t>
      </w:r>
      <w:r w:rsidR="007F7EB7" w:rsidRPr="00E776E0">
        <w:rPr>
          <w:rFonts w:cstheme="minorHAnsi"/>
        </w:rPr>
        <w:t>include a particular focus on the</w:t>
      </w:r>
      <w:r w:rsidR="000C1032" w:rsidRPr="00E776E0">
        <w:rPr>
          <w:rFonts w:cstheme="minorHAnsi"/>
        </w:rPr>
        <w:t xml:space="preserve"> three </w:t>
      </w:r>
      <w:r w:rsidR="00795EC3" w:rsidRPr="00E776E0">
        <w:rPr>
          <w:rFonts w:cstheme="minorHAnsi"/>
        </w:rPr>
        <w:t>cross</w:t>
      </w:r>
      <w:r w:rsidR="000C1032" w:rsidRPr="00E776E0">
        <w:rPr>
          <w:rFonts w:cstheme="minorHAnsi"/>
        </w:rPr>
        <w:t xml:space="preserve"> cutting themes identified above</w:t>
      </w:r>
      <w:r w:rsidR="004239EE" w:rsidRPr="00E776E0">
        <w:rPr>
          <w:rFonts w:cstheme="minorHAnsi"/>
        </w:rPr>
        <w:t xml:space="preserve">, namely gender, interfaith </w:t>
      </w:r>
      <w:r w:rsidR="00BE0806" w:rsidRPr="00E776E0">
        <w:rPr>
          <w:rFonts w:cstheme="minorHAnsi"/>
        </w:rPr>
        <w:t>perspectives</w:t>
      </w:r>
      <w:r w:rsidR="004239EE" w:rsidRPr="00E776E0">
        <w:rPr>
          <w:rFonts w:cstheme="minorHAnsi"/>
        </w:rPr>
        <w:t xml:space="preserve"> and child </w:t>
      </w:r>
      <w:r w:rsidR="00BE0806" w:rsidRPr="00E776E0">
        <w:rPr>
          <w:rFonts w:cstheme="minorHAnsi"/>
        </w:rPr>
        <w:t>participation</w:t>
      </w:r>
      <w:r w:rsidR="004239EE" w:rsidRPr="00E776E0">
        <w:rPr>
          <w:rFonts w:cstheme="minorHAnsi"/>
        </w:rPr>
        <w:t>.</w:t>
      </w:r>
      <w:r w:rsidR="000C1032" w:rsidRPr="00E776E0">
        <w:rPr>
          <w:rFonts w:cstheme="minorHAnsi"/>
        </w:rPr>
        <w:t xml:space="preserve"> However, t</w:t>
      </w:r>
      <w:r w:rsidR="00C97087" w:rsidRPr="00E776E0">
        <w:rPr>
          <w:rFonts w:cstheme="minorHAnsi"/>
        </w:rPr>
        <w:t>he precise topics will evolve</w:t>
      </w:r>
      <w:r w:rsidR="004239EE" w:rsidRPr="00E776E0">
        <w:rPr>
          <w:rFonts w:cstheme="minorHAnsi"/>
        </w:rPr>
        <w:t xml:space="preserve"> and </w:t>
      </w:r>
      <w:r w:rsidR="00C97087" w:rsidRPr="00E776E0">
        <w:rPr>
          <w:rFonts w:cstheme="minorHAnsi"/>
        </w:rPr>
        <w:t xml:space="preserve">be refined through the iterative </w:t>
      </w:r>
      <w:r w:rsidR="004239EE" w:rsidRPr="00E776E0">
        <w:rPr>
          <w:rFonts w:cstheme="minorHAnsi"/>
        </w:rPr>
        <w:t>research</w:t>
      </w:r>
      <w:r w:rsidR="00C97087" w:rsidRPr="00E776E0">
        <w:rPr>
          <w:rFonts w:cstheme="minorHAnsi"/>
        </w:rPr>
        <w:t xml:space="preserve"> process</w:t>
      </w:r>
      <w:r w:rsidR="004239EE" w:rsidRPr="00E776E0">
        <w:rPr>
          <w:rFonts w:cstheme="minorHAnsi"/>
        </w:rPr>
        <w:t xml:space="preserve"> involving the research team, Hub members and interested practitioners. </w:t>
      </w:r>
    </w:p>
    <w:p w14:paraId="09CCDCB1" w14:textId="77777777" w:rsidR="00C05DC9" w:rsidRPr="00E776E0" w:rsidRDefault="00C05DC9" w:rsidP="00FD2AEA">
      <w:pPr>
        <w:rPr>
          <w:rFonts w:cstheme="minorHAnsi"/>
        </w:rPr>
      </w:pPr>
    </w:p>
    <w:p w14:paraId="1370E6E9" w14:textId="63C97846" w:rsidR="00C05DC9" w:rsidRPr="00E55E48" w:rsidRDefault="00C05DC9" w:rsidP="00C05DC9">
      <w:pPr>
        <w:pStyle w:val="Heading1"/>
        <w:rPr>
          <w:rFonts w:asciiTheme="minorHAnsi" w:hAnsiTheme="minorHAnsi" w:cstheme="minorHAnsi"/>
          <w:b/>
          <w:sz w:val="28"/>
        </w:rPr>
      </w:pPr>
      <w:r w:rsidRPr="00E55E48">
        <w:rPr>
          <w:rFonts w:asciiTheme="minorHAnsi" w:hAnsiTheme="minorHAnsi" w:cstheme="minorHAnsi"/>
          <w:b/>
          <w:sz w:val="28"/>
        </w:rPr>
        <w:t>Outputs of the Scoping Study</w:t>
      </w:r>
    </w:p>
    <w:p w14:paraId="0A230625" w14:textId="397EB7C5" w:rsidR="00C05DC9" w:rsidRPr="00E776E0" w:rsidRDefault="00C05DC9" w:rsidP="00D15A61">
      <w:pPr>
        <w:widowControl w:val="0"/>
        <w:autoSpaceDE w:val="0"/>
        <w:autoSpaceDN w:val="0"/>
        <w:adjustRightInd w:val="0"/>
        <w:spacing w:after="240"/>
        <w:rPr>
          <w:rFonts w:cstheme="minorHAnsi"/>
          <w:szCs w:val="22"/>
        </w:rPr>
      </w:pPr>
      <w:r w:rsidRPr="00E776E0">
        <w:rPr>
          <w:rFonts w:cstheme="minorHAnsi"/>
          <w:szCs w:val="22"/>
        </w:rPr>
        <w:t xml:space="preserve">The </w:t>
      </w:r>
      <w:r w:rsidR="00B26FAE" w:rsidRPr="00E776E0">
        <w:rPr>
          <w:rFonts w:cstheme="minorHAnsi"/>
          <w:szCs w:val="22"/>
        </w:rPr>
        <w:t>scoping study will consist of three parts</w:t>
      </w:r>
      <w:r w:rsidRPr="00E776E0">
        <w:rPr>
          <w:rFonts w:cstheme="minorHAnsi"/>
          <w:szCs w:val="22"/>
        </w:rPr>
        <w:t>:</w:t>
      </w:r>
    </w:p>
    <w:p w14:paraId="39325D66" w14:textId="079EE2EA" w:rsidR="00C05DC9" w:rsidRPr="00E776E0" w:rsidRDefault="002B5FEE" w:rsidP="00C05DC9">
      <w:pPr>
        <w:pStyle w:val="ListParagraph"/>
        <w:widowControl w:val="0"/>
        <w:numPr>
          <w:ilvl w:val="0"/>
          <w:numId w:val="17"/>
        </w:numPr>
        <w:autoSpaceDE w:val="0"/>
        <w:autoSpaceDN w:val="0"/>
        <w:adjustRightInd w:val="0"/>
        <w:spacing w:after="240"/>
        <w:rPr>
          <w:rFonts w:cstheme="minorHAnsi"/>
          <w:szCs w:val="22"/>
        </w:rPr>
      </w:pPr>
      <w:r w:rsidRPr="00E776E0">
        <w:rPr>
          <w:rFonts w:cstheme="minorHAnsi"/>
          <w:szCs w:val="22"/>
        </w:rPr>
        <w:t xml:space="preserve">Overview of existing evidence in the </w:t>
      </w:r>
      <w:r w:rsidR="00795EC3" w:rsidRPr="00E776E0">
        <w:rPr>
          <w:rFonts w:cstheme="minorHAnsi"/>
          <w:szCs w:val="22"/>
        </w:rPr>
        <w:t>form</w:t>
      </w:r>
      <w:r w:rsidRPr="00E776E0">
        <w:rPr>
          <w:rFonts w:cstheme="minorHAnsi"/>
          <w:szCs w:val="22"/>
        </w:rPr>
        <w:t xml:space="preserve"> of a </w:t>
      </w:r>
      <w:r w:rsidR="000020C9" w:rsidRPr="00E776E0">
        <w:rPr>
          <w:rFonts w:cstheme="minorHAnsi"/>
          <w:szCs w:val="22"/>
        </w:rPr>
        <w:t>literature review</w:t>
      </w:r>
      <w:r w:rsidRPr="00E776E0">
        <w:rPr>
          <w:rFonts w:cstheme="minorHAnsi"/>
          <w:szCs w:val="22"/>
        </w:rPr>
        <w:t xml:space="preserve"> report </w:t>
      </w:r>
      <w:r w:rsidR="000020C9" w:rsidRPr="00E776E0">
        <w:rPr>
          <w:rFonts w:cstheme="minorHAnsi"/>
          <w:szCs w:val="22"/>
        </w:rPr>
        <w:t xml:space="preserve">and full </w:t>
      </w:r>
      <w:r w:rsidR="00795EC3" w:rsidRPr="00E776E0">
        <w:rPr>
          <w:rFonts w:cstheme="minorHAnsi"/>
          <w:szCs w:val="22"/>
        </w:rPr>
        <w:t>bibliography</w:t>
      </w:r>
    </w:p>
    <w:p w14:paraId="6FC8866D" w14:textId="675FAC0C" w:rsidR="00E54301" w:rsidRPr="00E776E0" w:rsidRDefault="00B26FAE" w:rsidP="002E3860">
      <w:pPr>
        <w:pStyle w:val="ListParagraph"/>
        <w:widowControl w:val="0"/>
        <w:numPr>
          <w:ilvl w:val="0"/>
          <w:numId w:val="17"/>
        </w:numPr>
        <w:autoSpaceDE w:val="0"/>
        <w:autoSpaceDN w:val="0"/>
        <w:adjustRightInd w:val="0"/>
        <w:rPr>
          <w:rFonts w:cstheme="minorHAnsi"/>
          <w:szCs w:val="22"/>
        </w:rPr>
      </w:pPr>
      <w:r w:rsidRPr="00E776E0">
        <w:rPr>
          <w:rFonts w:cstheme="minorHAnsi"/>
          <w:szCs w:val="22"/>
        </w:rPr>
        <w:t>S</w:t>
      </w:r>
      <w:r w:rsidR="00E54301" w:rsidRPr="00E776E0">
        <w:rPr>
          <w:rFonts w:cstheme="minorHAnsi"/>
          <w:szCs w:val="22"/>
        </w:rPr>
        <w:t xml:space="preserve">elected case studies on </w:t>
      </w:r>
      <w:r w:rsidR="00C50BAF" w:rsidRPr="00E776E0">
        <w:rPr>
          <w:rFonts w:cstheme="minorHAnsi"/>
          <w:szCs w:val="22"/>
        </w:rPr>
        <w:t>contributions</w:t>
      </w:r>
      <w:r w:rsidR="00E54301" w:rsidRPr="00E776E0">
        <w:rPr>
          <w:rFonts w:cstheme="minorHAnsi"/>
          <w:szCs w:val="22"/>
        </w:rPr>
        <w:t xml:space="preserve"> of faith communities and role of faith </w:t>
      </w:r>
      <w:r w:rsidR="002C5757" w:rsidRPr="00E776E0">
        <w:rPr>
          <w:rFonts w:cstheme="minorHAnsi"/>
          <w:szCs w:val="22"/>
        </w:rPr>
        <w:t>actors</w:t>
      </w:r>
      <w:r w:rsidR="00795EC3" w:rsidRPr="00E776E0">
        <w:rPr>
          <w:rFonts w:cstheme="minorHAnsi"/>
          <w:szCs w:val="22"/>
        </w:rPr>
        <w:t xml:space="preserve"> in</w:t>
      </w:r>
      <w:r w:rsidR="00E54301" w:rsidRPr="00E776E0">
        <w:rPr>
          <w:rFonts w:cstheme="minorHAnsi"/>
          <w:szCs w:val="22"/>
        </w:rPr>
        <w:t xml:space="preserve"> child protection systems</w:t>
      </w:r>
    </w:p>
    <w:p w14:paraId="4EEA3D74" w14:textId="70A6B687" w:rsidR="006D4401" w:rsidRPr="00E776E0" w:rsidRDefault="002E3860" w:rsidP="002E3860">
      <w:pPr>
        <w:numPr>
          <w:ilvl w:val="0"/>
          <w:numId w:val="17"/>
        </w:numPr>
        <w:autoSpaceDE w:val="0"/>
        <w:autoSpaceDN w:val="0"/>
        <w:contextualSpacing/>
        <w:rPr>
          <w:rFonts w:eastAsia="Times New Roman" w:cstheme="minorHAnsi"/>
        </w:rPr>
      </w:pPr>
      <w:r w:rsidRPr="00E776E0">
        <w:rPr>
          <w:rFonts w:eastAsia="Times New Roman" w:cstheme="minorHAnsi"/>
        </w:rPr>
        <w:lastRenderedPageBreak/>
        <w:t xml:space="preserve">Full study report on which includes the literature review, case studies, and findings from primary data collection process with practitioners, faith leaders and policy makers in the field </w:t>
      </w:r>
    </w:p>
    <w:p w14:paraId="6FE2E59D" w14:textId="77777777" w:rsidR="0022396D" w:rsidRPr="00E776E0" w:rsidRDefault="0022396D" w:rsidP="00B53703">
      <w:pPr>
        <w:autoSpaceDE w:val="0"/>
        <w:autoSpaceDN w:val="0"/>
        <w:spacing w:after="240"/>
        <w:rPr>
          <w:rFonts w:cstheme="minorHAnsi"/>
        </w:rPr>
      </w:pPr>
    </w:p>
    <w:p w14:paraId="51660C29" w14:textId="50F55C4D" w:rsidR="007751EF" w:rsidRPr="00E776E0" w:rsidRDefault="007751EF" w:rsidP="0022396D">
      <w:pPr>
        <w:autoSpaceDE w:val="0"/>
        <w:autoSpaceDN w:val="0"/>
        <w:rPr>
          <w:rFonts w:cstheme="minorHAnsi"/>
        </w:rPr>
      </w:pPr>
      <w:r w:rsidRPr="00E776E0">
        <w:rPr>
          <w:rFonts w:cstheme="minorHAnsi"/>
        </w:rPr>
        <w:t>Practitioner-oriented outputs will also be produced as part of the dissemination plan, which can be fou</w:t>
      </w:r>
      <w:r w:rsidR="00750958" w:rsidRPr="00E776E0">
        <w:rPr>
          <w:rFonts w:cstheme="minorHAnsi"/>
        </w:rPr>
        <w:t>nd as an annex to this outline.</w:t>
      </w:r>
    </w:p>
    <w:p w14:paraId="46B53E45" w14:textId="77777777" w:rsidR="002E3860" w:rsidRPr="00E776E0" w:rsidRDefault="002E3860" w:rsidP="007751EF">
      <w:pPr>
        <w:autoSpaceDE w:val="0"/>
        <w:autoSpaceDN w:val="0"/>
        <w:contextualSpacing/>
        <w:rPr>
          <w:rFonts w:eastAsia="Times New Roman" w:cstheme="minorHAnsi"/>
        </w:rPr>
      </w:pPr>
    </w:p>
    <w:p w14:paraId="0FF76288" w14:textId="57778D31" w:rsidR="004E066F" w:rsidRPr="00E776E0" w:rsidRDefault="00825ABA" w:rsidP="0022396D">
      <w:pPr>
        <w:widowControl w:val="0"/>
        <w:autoSpaceDE w:val="0"/>
        <w:autoSpaceDN w:val="0"/>
        <w:adjustRightInd w:val="0"/>
        <w:rPr>
          <w:rFonts w:cstheme="minorHAnsi"/>
          <w:szCs w:val="22"/>
        </w:rPr>
      </w:pPr>
      <w:r w:rsidRPr="00E776E0">
        <w:rPr>
          <w:rFonts w:cstheme="minorHAnsi"/>
          <w:szCs w:val="22"/>
        </w:rPr>
        <w:t xml:space="preserve">These will be collaboratively authored by members of the JLI </w:t>
      </w:r>
      <w:r w:rsidR="00C845CC" w:rsidRPr="00E776E0">
        <w:rPr>
          <w:rFonts w:cstheme="minorHAnsi"/>
          <w:szCs w:val="22"/>
        </w:rPr>
        <w:t>EVAC</w:t>
      </w:r>
      <w:r w:rsidRPr="00E776E0">
        <w:rPr>
          <w:rFonts w:cstheme="minorHAnsi"/>
          <w:szCs w:val="22"/>
        </w:rPr>
        <w:t xml:space="preserve"> Hub,</w:t>
      </w:r>
      <w:r w:rsidR="00CF0001" w:rsidRPr="00E776E0">
        <w:rPr>
          <w:rFonts w:cstheme="minorHAnsi"/>
          <w:szCs w:val="22"/>
        </w:rPr>
        <w:t xml:space="preserve"> </w:t>
      </w:r>
      <w:r w:rsidRPr="00E776E0">
        <w:rPr>
          <w:rFonts w:cstheme="minorHAnsi"/>
          <w:szCs w:val="22"/>
        </w:rPr>
        <w:t>under the editorial guidance of the Hub Co-Chairs</w:t>
      </w:r>
      <w:r w:rsidR="00B26FAE" w:rsidRPr="00E776E0">
        <w:rPr>
          <w:rFonts w:cstheme="minorHAnsi"/>
          <w:szCs w:val="22"/>
        </w:rPr>
        <w:t xml:space="preserve"> and Olivia Wilkinson, Research Director</w:t>
      </w:r>
      <w:r w:rsidR="004B65B6" w:rsidRPr="00E776E0">
        <w:rPr>
          <w:rFonts w:cstheme="minorHAnsi"/>
          <w:szCs w:val="22"/>
        </w:rPr>
        <w:t xml:space="preserve"> JLI</w:t>
      </w:r>
      <w:r w:rsidRPr="00E776E0">
        <w:rPr>
          <w:rFonts w:cstheme="minorHAnsi"/>
          <w:szCs w:val="22"/>
        </w:rPr>
        <w:t xml:space="preserve">. </w:t>
      </w:r>
    </w:p>
    <w:p w14:paraId="7EC715B4" w14:textId="77777777" w:rsidR="00D15A61" w:rsidRPr="00E776E0" w:rsidRDefault="00D15A61" w:rsidP="00B11779">
      <w:pPr>
        <w:rPr>
          <w:rFonts w:cstheme="minorHAnsi"/>
          <w:szCs w:val="22"/>
        </w:rPr>
      </w:pPr>
    </w:p>
    <w:p w14:paraId="28F3FE02" w14:textId="1A01DED0" w:rsidR="00852971" w:rsidRPr="00E55E48" w:rsidRDefault="00852971" w:rsidP="00E55E48">
      <w:pPr>
        <w:pStyle w:val="Heading1"/>
        <w:rPr>
          <w:rFonts w:asciiTheme="minorHAnsi" w:hAnsiTheme="minorHAnsi" w:cstheme="minorHAnsi"/>
          <w:b/>
          <w:sz w:val="28"/>
        </w:rPr>
      </w:pPr>
      <w:r w:rsidRPr="00E55E48">
        <w:rPr>
          <w:rFonts w:asciiTheme="minorHAnsi" w:hAnsiTheme="minorHAnsi" w:cstheme="minorHAnsi"/>
          <w:b/>
          <w:sz w:val="28"/>
        </w:rPr>
        <w:t>Time line:</w:t>
      </w:r>
    </w:p>
    <w:p w14:paraId="67D1D070" w14:textId="4220F48C" w:rsidR="00852971" w:rsidRPr="00E776E0" w:rsidRDefault="00852971" w:rsidP="00852971">
      <w:pPr>
        <w:pStyle w:val="ListParagraph"/>
        <w:numPr>
          <w:ilvl w:val="0"/>
          <w:numId w:val="19"/>
        </w:numPr>
        <w:rPr>
          <w:rFonts w:cstheme="minorHAnsi"/>
        </w:rPr>
      </w:pPr>
      <w:r w:rsidRPr="00E776E0">
        <w:rPr>
          <w:rFonts w:cstheme="minorHAnsi"/>
        </w:rPr>
        <w:t>Literature Review: March – April 2018</w:t>
      </w:r>
    </w:p>
    <w:p w14:paraId="0552728F" w14:textId="6AAAFE30" w:rsidR="00852971" w:rsidRPr="00E776E0" w:rsidRDefault="00FB0401" w:rsidP="00852971">
      <w:pPr>
        <w:pStyle w:val="ListParagraph"/>
        <w:numPr>
          <w:ilvl w:val="0"/>
          <w:numId w:val="19"/>
        </w:numPr>
        <w:rPr>
          <w:rFonts w:cstheme="minorHAnsi"/>
        </w:rPr>
      </w:pPr>
      <w:r w:rsidRPr="00E776E0">
        <w:rPr>
          <w:rFonts w:cstheme="minorHAnsi"/>
        </w:rPr>
        <w:t xml:space="preserve">Case study collation: </w:t>
      </w:r>
      <w:r w:rsidR="00E776E0" w:rsidRPr="00E776E0">
        <w:rPr>
          <w:rFonts w:cstheme="minorHAnsi"/>
        </w:rPr>
        <w:t>A</w:t>
      </w:r>
      <w:r w:rsidR="00E776E0">
        <w:rPr>
          <w:rFonts w:cstheme="minorHAnsi"/>
        </w:rPr>
        <w:t>p</w:t>
      </w:r>
      <w:r w:rsidR="00E776E0" w:rsidRPr="00E776E0">
        <w:rPr>
          <w:rFonts w:cstheme="minorHAnsi"/>
        </w:rPr>
        <w:t xml:space="preserve">ril-July </w:t>
      </w:r>
      <w:r w:rsidRPr="00E776E0">
        <w:rPr>
          <w:rFonts w:cstheme="minorHAnsi"/>
        </w:rPr>
        <w:t>2018</w:t>
      </w:r>
    </w:p>
    <w:p w14:paraId="37792948" w14:textId="45A8D6E2" w:rsidR="00FB0401" w:rsidRPr="00E776E0" w:rsidRDefault="00FB0401" w:rsidP="00852971">
      <w:pPr>
        <w:pStyle w:val="ListParagraph"/>
        <w:numPr>
          <w:ilvl w:val="0"/>
          <w:numId w:val="19"/>
        </w:numPr>
        <w:rPr>
          <w:rFonts w:cstheme="minorHAnsi"/>
        </w:rPr>
      </w:pPr>
      <w:r w:rsidRPr="00E776E0">
        <w:rPr>
          <w:rFonts w:cstheme="minorHAnsi"/>
        </w:rPr>
        <w:t xml:space="preserve">Interviews and write-up: </w:t>
      </w:r>
      <w:r w:rsidR="00E776E0">
        <w:rPr>
          <w:rFonts w:cstheme="minorHAnsi"/>
        </w:rPr>
        <w:t>August-October</w:t>
      </w:r>
      <w:r w:rsidR="00E776E0" w:rsidRPr="00E776E0">
        <w:rPr>
          <w:rFonts w:cstheme="minorHAnsi"/>
        </w:rPr>
        <w:t xml:space="preserve"> </w:t>
      </w:r>
      <w:r w:rsidRPr="00E776E0">
        <w:rPr>
          <w:rFonts w:cstheme="minorHAnsi"/>
        </w:rPr>
        <w:t>2018</w:t>
      </w:r>
    </w:p>
    <w:p w14:paraId="5C26DD88" w14:textId="3A8F73DE" w:rsidR="00FB0401" w:rsidRDefault="00FB0401" w:rsidP="00852971">
      <w:pPr>
        <w:pStyle w:val="ListParagraph"/>
        <w:numPr>
          <w:ilvl w:val="0"/>
          <w:numId w:val="19"/>
        </w:numPr>
        <w:rPr>
          <w:rFonts w:cstheme="minorHAnsi"/>
        </w:rPr>
      </w:pPr>
      <w:r w:rsidRPr="00E776E0">
        <w:rPr>
          <w:rFonts w:cstheme="minorHAnsi"/>
        </w:rPr>
        <w:t xml:space="preserve">Finalise study </w:t>
      </w:r>
      <w:r w:rsidR="00E776E0" w:rsidRPr="00E776E0">
        <w:rPr>
          <w:rFonts w:cstheme="minorHAnsi"/>
        </w:rPr>
        <w:t xml:space="preserve">October-November </w:t>
      </w:r>
      <w:r w:rsidRPr="00E776E0">
        <w:rPr>
          <w:rFonts w:cstheme="minorHAnsi"/>
        </w:rPr>
        <w:t>2018</w:t>
      </w:r>
    </w:p>
    <w:p w14:paraId="2C5CCC77" w14:textId="56CEFAE7" w:rsidR="00E776E0" w:rsidRPr="00E776E0" w:rsidRDefault="00E776E0" w:rsidP="00852971">
      <w:pPr>
        <w:pStyle w:val="ListParagraph"/>
        <w:numPr>
          <w:ilvl w:val="0"/>
          <w:numId w:val="19"/>
        </w:numPr>
        <w:rPr>
          <w:rFonts w:cstheme="minorHAnsi"/>
        </w:rPr>
      </w:pPr>
      <w:r>
        <w:rPr>
          <w:rFonts w:cstheme="minorHAnsi"/>
        </w:rPr>
        <w:t>Practitioner related output tbd end of 2018-2019</w:t>
      </w:r>
    </w:p>
    <w:p w14:paraId="2E8349E7" w14:textId="77777777" w:rsidR="00852971" w:rsidRPr="00E776E0" w:rsidRDefault="00852971" w:rsidP="00852971">
      <w:pPr>
        <w:rPr>
          <w:rFonts w:cstheme="minorHAnsi"/>
        </w:rPr>
      </w:pPr>
    </w:p>
    <w:p w14:paraId="4B4DCDFA" w14:textId="33646BAB" w:rsidR="00D06B21" w:rsidRPr="00E55E48" w:rsidRDefault="00B519A6" w:rsidP="00043378">
      <w:pPr>
        <w:pStyle w:val="Heading1"/>
        <w:rPr>
          <w:rFonts w:asciiTheme="minorHAnsi" w:hAnsiTheme="minorHAnsi" w:cstheme="minorHAnsi"/>
          <w:b/>
          <w:sz w:val="28"/>
        </w:rPr>
      </w:pPr>
      <w:r w:rsidRPr="00E55E48">
        <w:rPr>
          <w:rFonts w:asciiTheme="minorHAnsi" w:hAnsiTheme="minorHAnsi" w:cstheme="minorHAnsi"/>
          <w:b/>
          <w:sz w:val="28"/>
        </w:rPr>
        <w:t xml:space="preserve">Budget: </w:t>
      </w:r>
    </w:p>
    <w:p w14:paraId="1485A84E" w14:textId="243FB1A9" w:rsidR="00FF11DF" w:rsidRPr="00E776E0" w:rsidRDefault="00FF11DF" w:rsidP="00B519A6">
      <w:pPr>
        <w:pStyle w:val="ListParagraph"/>
        <w:widowControl w:val="0"/>
        <w:numPr>
          <w:ilvl w:val="0"/>
          <w:numId w:val="11"/>
        </w:numPr>
        <w:autoSpaceDE w:val="0"/>
        <w:autoSpaceDN w:val="0"/>
        <w:adjustRightInd w:val="0"/>
        <w:spacing w:after="240"/>
        <w:rPr>
          <w:rFonts w:cstheme="minorHAnsi"/>
          <w:bCs/>
          <w:szCs w:val="22"/>
        </w:rPr>
      </w:pPr>
      <w:r w:rsidRPr="00E776E0">
        <w:rPr>
          <w:rFonts w:cstheme="minorHAnsi"/>
          <w:b/>
          <w:bCs/>
          <w:szCs w:val="22"/>
        </w:rPr>
        <w:t>Research Assistance</w:t>
      </w:r>
      <w:r w:rsidR="008013C1" w:rsidRPr="00E776E0">
        <w:rPr>
          <w:rFonts w:cstheme="minorHAnsi"/>
          <w:b/>
          <w:bCs/>
          <w:szCs w:val="22"/>
        </w:rPr>
        <w:t xml:space="preserve"> </w:t>
      </w:r>
      <w:r w:rsidR="008013C1" w:rsidRPr="00E776E0">
        <w:rPr>
          <w:rFonts w:cstheme="minorHAnsi"/>
          <w:bCs/>
          <w:szCs w:val="22"/>
        </w:rPr>
        <w:t xml:space="preserve">(JLI </w:t>
      </w:r>
      <w:r w:rsidR="00D15A61" w:rsidRPr="00E776E0">
        <w:rPr>
          <w:rFonts w:cstheme="minorHAnsi"/>
          <w:bCs/>
          <w:szCs w:val="22"/>
        </w:rPr>
        <w:t>has</w:t>
      </w:r>
      <w:r w:rsidR="00ED6B45" w:rsidRPr="00E776E0">
        <w:rPr>
          <w:rFonts w:cstheme="minorHAnsi"/>
          <w:bCs/>
          <w:szCs w:val="22"/>
        </w:rPr>
        <w:t xml:space="preserve"> committed</w:t>
      </w:r>
      <w:r w:rsidR="00D15A61" w:rsidRPr="00E776E0">
        <w:rPr>
          <w:rFonts w:cstheme="minorHAnsi"/>
          <w:bCs/>
          <w:szCs w:val="22"/>
        </w:rPr>
        <w:t xml:space="preserve"> $2,000 to this</w:t>
      </w:r>
      <w:r w:rsidR="004B65B6" w:rsidRPr="00E776E0">
        <w:rPr>
          <w:rFonts w:cstheme="minorHAnsi"/>
          <w:bCs/>
          <w:szCs w:val="22"/>
        </w:rPr>
        <w:t>, Queen Margaret University is committing 25 researcher days to the literature review, Olivia Wilkinson will provide input and guidance and</w:t>
      </w:r>
      <w:r w:rsidR="00D15A61" w:rsidRPr="00E776E0">
        <w:rPr>
          <w:rFonts w:cstheme="minorHAnsi"/>
          <w:bCs/>
          <w:szCs w:val="22"/>
        </w:rPr>
        <w:t xml:space="preserve"> </w:t>
      </w:r>
      <w:r w:rsidR="00E776E0">
        <w:rPr>
          <w:rFonts w:cstheme="minorHAnsi"/>
          <w:bCs/>
          <w:szCs w:val="22"/>
        </w:rPr>
        <w:t>$10,000 from World Vision</w:t>
      </w:r>
      <w:r w:rsidR="00091D46" w:rsidRPr="00E776E0">
        <w:rPr>
          <w:rFonts w:cstheme="minorHAnsi"/>
          <w:bCs/>
          <w:szCs w:val="22"/>
        </w:rPr>
        <w:t xml:space="preserve"> for </w:t>
      </w:r>
      <w:r w:rsidR="0022396D" w:rsidRPr="00E776E0">
        <w:rPr>
          <w:rFonts w:cstheme="minorHAnsi"/>
          <w:bCs/>
          <w:szCs w:val="22"/>
        </w:rPr>
        <w:t xml:space="preserve">case study interviews and </w:t>
      </w:r>
      <w:r w:rsidR="00091D46" w:rsidRPr="00E776E0">
        <w:rPr>
          <w:rFonts w:cstheme="minorHAnsi"/>
          <w:bCs/>
          <w:szCs w:val="22"/>
        </w:rPr>
        <w:t>fin</w:t>
      </w:r>
      <w:r w:rsidR="00E776E0">
        <w:rPr>
          <w:rFonts w:cstheme="minorHAnsi"/>
          <w:bCs/>
          <w:szCs w:val="22"/>
        </w:rPr>
        <w:t>a</w:t>
      </w:r>
      <w:r w:rsidR="00091D46" w:rsidRPr="00E776E0">
        <w:rPr>
          <w:rFonts w:cstheme="minorHAnsi"/>
          <w:bCs/>
          <w:szCs w:val="22"/>
        </w:rPr>
        <w:t>l write-up</w:t>
      </w:r>
      <w:r w:rsidR="00D15A61" w:rsidRPr="00E776E0">
        <w:rPr>
          <w:rFonts w:cstheme="minorHAnsi"/>
          <w:bCs/>
          <w:szCs w:val="22"/>
        </w:rPr>
        <w:t>)</w:t>
      </w:r>
    </w:p>
    <w:p w14:paraId="2FAB5146" w14:textId="36E3ED9A" w:rsidR="00B519A6" w:rsidRPr="00E776E0" w:rsidRDefault="00B519A6" w:rsidP="00B519A6">
      <w:pPr>
        <w:pStyle w:val="ListParagraph"/>
        <w:widowControl w:val="0"/>
        <w:numPr>
          <w:ilvl w:val="0"/>
          <w:numId w:val="11"/>
        </w:numPr>
        <w:autoSpaceDE w:val="0"/>
        <w:autoSpaceDN w:val="0"/>
        <w:adjustRightInd w:val="0"/>
        <w:spacing w:after="240"/>
        <w:rPr>
          <w:rFonts w:cstheme="minorHAnsi"/>
          <w:b/>
          <w:bCs/>
          <w:szCs w:val="22"/>
        </w:rPr>
      </w:pPr>
      <w:r w:rsidRPr="00E776E0">
        <w:rPr>
          <w:rFonts w:cstheme="minorHAnsi"/>
          <w:b/>
          <w:bCs/>
          <w:szCs w:val="22"/>
        </w:rPr>
        <w:t>Publication Preparation</w:t>
      </w:r>
    </w:p>
    <w:p w14:paraId="4960F8EA" w14:textId="77777777" w:rsidR="00043378" w:rsidRPr="00E776E0" w:rsidRDefault="00043378" w:rsidP="00043378">
      <w:pPr>
        <w:pStyle w:val="Heading1"/>
        <w:rPr>
          <w:rFonts w:asciiTheme="minorHAnsi" w:hAnsiTheme="minorHAnsi" w:cstheme="minorHAnsi"/>
          <w:b/>
        </w:rPr>
      </w:pPr>
      <w:bookmarkStart w:id="0" w:name="_GoBack"/>
      <w:bookmarkEnd w:id="0"/>
    </w:p>
    <w:p w14:paraId="547CE4E2" w14:textId="045B9B49" w:rsidR="00D06B21" w:rsidRPr="00E55E48" w:rsidRDefault="00043378" w:rsidP="00043378">
      <w:pPr>
        <w:pStyle w:val="Heading1"/>
        <w:rPr>
          <w:rFonts w:asciiTheme="minorHAnsi" w:hAnsiTheme="minorHAnsi" w:cstheme="minorHAnsi"/>
          <w:b/>
          <w:sz w:val="28"/>
        </w:rPr>
      </w:pPr>
      <w:r w:rsidRPr="00E55E48">
        <w:rPr>
          <w:rFonts w:asciiTheme="minorHAnsi" w:hAnsiTheme="minorHAnsi" w:cstheme="minorHAnsi"/>
          <w:b/>
          <w:sz w:val="28"/>
        </w:rPr>
        <w:t>Annexes</w:t>
      </w:r>
    </w:p>
    <w:p w14:paraId="00AD50E0" w14:textId="140450CF" w:rsidR="00043378" w:rsidRPr="00E776E0" w:rsidRDefault="00043378">
      <w:pPr>
        <w:rPr>
          <w:rFonts w:cstheme="minorHAnsi"/>
          <w:b/>
          <w:bCs/>
          <w:szCs w:val="22"/>
          <w:u w:val="single"/>
        </w:rPr>
      </w:pPr>
    </w:p>
    <w:p w14:paraId="049CC7DB" w14:textId="7D9B4A4E" w:rsidR="00043378" w:rsidRPr="00E776E0" w:rsidRDefault="00043378" w:rsidP="00043378">
      <w:pPr>
        <w:rPr>
          <w:rFonts w:cstheme="minorHAnsi"/>
          <w:b/>
        </w:rPr>
      </w:pPr>
      <w:r w:rsidRPr="00E776E0">
        <w:rPr>
          <w:rFonts w:cstheme="minorHAnsi"/>
          <w:b/>
        </w:rPr>
        <w:t>Concept Note</w:t>
      </w:r>
    </w:p>
    <w:p w14:paraId="5E862199" w14:textId="269B7ABE" w:rsidR="00043378" w:rsidRPr="00E776E0" w:rsidRDefault="00E776E0">
      <w:pPr>
        <w:rPr>
          <w:rFonts w:cstheme="minorHAnsi"/>
          <w:b/>
          <w:bCs/>
          <w:szCs w:val="22"/>
        </w:rPr>
      </w:pPr>
      <w:hyperlink r:id="rId10" w:history="1">
        <w:r w:rsidR="0038513F" w:rsidRPr="00E776E0">
          <w:rPr>
            <w:rStyle w:val="Hyperlink"/>
            <w:rFonts w:cstheme="minorHAnsi"/>
            <w:b/>
            <w:bCs/>
            <w:szCs w:val="22"/>
          </w:rPr>
          <w:t>Dissemination Plan</w:t>
        </w:r>
      </w:hyperlink>
    </w:p>
    <w:p w14:paraId="27E80025" w14:textId="2A69FBD4" w:rsidR="00043378" w:rsidRPr="00E776E0" w:rsidRDefault="00043378">
      <w:pPr>
        <w:rPr>
          <w:rFonts w:cstheme="minorHAnsi"/>
          <w:b/>
          <w:bCs/>
          <w:szCs w:val="22"/>
          <w:u w:val="single"/>
        </w:rPr>
      </w:pPr>
    </w:p>
    <w:sectPr w:rsidR="00043378" w:rsidRPr="00E776E0" w:rsidSect="001F368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38D34" w14:textId="77777777" w:rsidR="0092609D" w:rsidRDefault="0092609D" w:rsidP="00F9528E">
      <w:r>
        <w:separator/>
      </w:r>
    </w:p>
  </w:endnote>
  <w:endnote w:type="continuationSeparator" w:id="0">
    <w:p w14:paraId="6E8C3231" w14:textId="77777777" w:rsidR="0092609D" w:rsidRDefault="0092609D" w:rsidP="00F9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F42AE" w14:textId="77777777" w:rsidR="001F3683" w:rsidRDefault="001F3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2056" w14:textId="77777777" w:rsidR="001F3683" w:rsidRDefault="001F3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2B4B" w14:textId="77777777" w:rsidR="001F3683" w:rsidRDefault="001F3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D174E" w14:textId="77777777" w:rsidR="0092609D" w:rsidRDefault="0092609D" w:rsidP="00F9528E">
      <w:r>
        <w:separator/>
      </w:r>
    </w:p>
  </w:footnote>
  <w:footnote w:type="continuationSeparator" w:id="0">
    <w:p w14:paraId="523C8A04" w14:textId="77777777" w:rsidR="0092609D" w:rsidRDefault="0092609D" w:rsidP="00F9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395BC" w14:textId="77777777" w:rsidR="001F3683" w:rsidRDefault="001F3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B1974" w14:textId="307176D1" w:rsidR="001F3683" w:rsidRDefault="001F3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DC4B" w14:textId="77777777" w:rsidR="001F3683" w:rsidRDefault="001F3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57CE6"/>
    <w:multiLevelType w:val="hybridMultilevel"/>
    <w:tmpl w:val="CA2465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658C7"/>
    <w:multiLevelType w:val="hybridMultilevel"/>
    <w:tmpl w:val="1352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11A03"/>
    <w:multiLevelType w:val="hybridMultilevel"/>
    <w:tmpl w:val="3FC0F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55EC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CF50BD"/>
    <w:multiLevelType w:val="hybridMultilevel"/>
    <w:tmpl w:val="6A12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E60FF"/>
    <w:multiLevelType w:val="hybridMultilevel"/>
    <w:tmpl w:val="B99C0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D5B2F"/>
    <w:multiLevelType w:val="hybridMultilevel"/>
    <w:tmpl w:val="54C475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922F72"/>
    <w:multiLevelType w:val="hybridMultilevel"/>
    <w:tmpl w:val="B3E0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924CC"/>
    <w:multiLevelType w:val="hybridMultilevel"/>
    <w:tmpl w:val="ACE433E6"/>
    <w:lvl w:ilvl="0" w:tplc="4D18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406F5A"/>
    <w:multiLevelType w:val="hybridMultilevel"/>
    <w:tmpl w:val="8FF66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4F7282"/>
    <w:multiLevelType w:val="hybridMultilevel"/>
    <w:tmpl w:val="8FF8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63D00"/>
    <w:multiLevelType w:val="hybridMultilevel"/>
    <w:tmpl w:val="B89CAC7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A1EDB"/>
    <w:multiLevelType w:val="hybridMultilevel"/>
    <w:tmpl w:val="DDD6D3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CA30F5"/>
    <w:multiLevelType w:val="multilevel"/>
    <w:tmpl w:val="DB528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9F3004"/>
    <w:multiLevelType w:val="hybridMultilevel"/>
    <w:tmpl w:val="7042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9123F2"/>
    <w:multiLevelType w:val="hybridMultilevel"/>
    <w:tmpl w:val="423C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611B5"/>
    <w:multiLevelType w:val="hybridMultilevel"/>
    <w:tmpl w:val="F4CE2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631908"/>
    <w:multiLevelType w:val="hybridMultilevel"/>
    <w:tmpl w:val="E8E6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5"/>
  </w:num>
  <w:num w:numId="4">
    <w:abstractNumId w:val="16"/>
  </w:num>
  <w:num w:numId="5">
    <w:abstractNumId w:val="6"/>
  </w:num>
  <w:num w:numId="6">
    <w:abstractNumId w:val="17"/>
  </w:num>
  <w:num w:numId="7">
    <w:abstractNumId w:val="1"/>
  </w:num>
  <w:num w:numId="8">
    <w:abstractNumId w:val="11"/>
  </w:num>
  <w:num w:numId="9">
    <w:abstractNumId w:val="18"/>
  </w:num>
  <w:num w:numId="10">
    <w:abstractNumId w:val="4"/>
  </w:num>
  <w:num w:numId="11">
    <w:abstractNumId w:val="3"/>
  </w:num>
  <w:num w:numId="12">
    <w:abstractNumId w:val="14"/>
  </w:num>
  <w:num w:numId="13">
    <w:abstractNumId w:val="7"/>
  </w:num>
  <w:num w:numId="14">
    <w:abstractNumId w:val="2"/>
  </w:num>
  <w:num w:numId="15">
    <w:abstractNumId w:val="5"/>
  </w:num>
  <w:num w:numId="16">
    <w:abstractNumId w:val="13"/>
  </w:num>
  <w:num w:numId="17">
    <w:abstractNumId w:val="9"/>
  </w:num>
  <w:num w:numId="18">
    <w:abstractNumId w:val="12"/>
  </w:num>
  <w:num w:numId="19">
    <w:abstractNumId w:val="1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8B"/>
    <w:rsid w:val="00001B29"/>
    <w:rsid w:val="000020C9"/>
    <w:rsid w:val="00022C30"/>
    <w:rsid w:val="00043378"/>
    <w:rsid w:val="00067FCA"/>
    <w:rsid w:val="00091D46"/>
    <w:rsid w:val="000A016D"/>
    <w:rsid w:val="000C1032"/>
    <w:rsid w:val="000C3A90"/>
    <w:rsid w:val="000F4EA3"/>
    <w:rsid w:val="00103D9E"/>
    <w:rsid w:val="0014297E"/>
    <w:rsid w:val="00160445"/>
    <w:rsid w:val="0017252E"/>
    <w:rsid w:val="00191E62"/>
    <w:rsid w:val="001B4F3C"/>
    <w:rsid w:val="001F0BFA"/>
    <w:rsid w:val="001F18A2"/>
    <w:rsid w:val="001F3683"/>
    <w:rsid w:val="002066C6"/>
    <w:rsid w:val="002121A3"/>
    <w:rsid w:val="0022396D"/>
    <w:rsid w:val="0028314A"/>
    <w:rsid w:val="002A28F5"/>
    <w:rsid w:val="002B5FEE"/>
    <w:rsid w:val="002C2396"/>
    <w:rsid w:val="002C5757"/>
    <w:rsid w:val="002E3860"/>
    <w:rsid w:val="003524CB"/>
    <w:rsid w:val="00367EAD"/>
    <w:rsid w:val="0038513F"/>
    <w:rsid w:val="003A2F25"/>
    <w:rsid w:val="003E0752"/>
    <w:rsid w:val="004239EE"/>
    <w:rsid w:val="004362BF"/>
    <w:rsid w:val="004779EC"/>
    <w:rsid w:val="004B65B6"/>
    <w:rsid w:val="004E066F"/>
    <w:rsid w:val="005154AE"/>
    <w:rsid w:val="005557AF"/>
    <w:rsid w:val="005623E6"/>
    <w:rsid w:val="00584623"/>
    <w:rsid w:val="00595041"/>
    <w:rsid w:val="005A707E"/>
    <w:rsid w:val="005B34E2"/>
    <w:rsid w:val="005B707F"/>
    <w:rsid w:val="005C4B55"/>
    <w:rsid w:val="005C6DFC"/>
    <w:rsid w:val="00600681"/>
    <w:rsid w:val="0064475E"/>
    <w:rsid w:val="00665FD8"/>
    <w:rsid w:val="00674E36"/>
    <w:rsid w:val="006D4401"/>
    <w:rsid w:val="00702A3A"/>
    <w:rsid w:val="0071183D"/>
    <w:rsid w:val="00717FFA"/>
    <w:rsid w:val="00741CED"/>
    <w:rsid w:val="00750958"/>
    <w:rsid w:val="00751A24"/>
    <w:rsid w:val="007751EF"/>
    <w:rsid w:val="00795EC3"/>
    <w:rsid w:val="007A3DDC"/>
    <w:rsid w:val="007D503A"/>
    <w:rsid w:val="007E03EC"/>
    <w:rsid w:val="007F7EB7"/>
    <w:rsid w:val="008013C1"/>
    <w:rsid w:val="00825ABA"/>
    <w:rsid w:val="00844310"/>
    <w:rsid w:val="00852971"/>
    <w:rsid w:val="0087724D"/>
    <w:rsid w:val="00882194"/>
    <w:rsid w:val="00893217"/>
    <w:rsid w:val="008A1FB2"/>
    <w:rsid w:val="008B42EE"/>
    <w:rsid w:val="008E1A61"/>
    <w:rsid w:val="008F3926"/>
    <w:rsid w:val="008F52F6"/>
    <w:rsid w:val="009130F4"/>
    <w:rsid w:val="009170C8"/>
    <w:rsid w:val="0092609D"/>
    <w:rsid w:val="009B0774"/>
    <w:rsid w:val="00A138A4"/>
    <w:rsid w:val="00AC51B2"/>
    <w:rsid w:val="00B11779"/>
    <w:rsid w:val="00B24E15"/>
    <w:rsid w:val="00B26FAE"/>
    <w:rsid w:val="00B33C5A"/>
    <w:rsid w:val="00B519A6"/>
    <w:rsid w:val="00B53703"/>
    <w:rsid w:val="00B8014D"/>
    <w:rsid w:val="00BB65CA"/>
    <w:rsid w:val="00BE0806"/>
    <w:rsid w:val="00BE3C86"/>
    <w:rsid w:val="00BE6AB0"/>
    <w:rsid w:val="00C05DC9"/>
    <w:rsid w:val="00C34CE6"/>
    <w:rsid w:val="00C50BAF"/>
    <w:rsid w:val="00C5267B"/>
    <w:rsid w:val="00C81A82"/>
    <w:rsid w:val="00C845CC"/>
    <w:rsid w:val="00C97087"/>
    <w:rsid w:val="00CC77CF"/>
    <w:rsid w:val="00CC7905"/>
    <w:rsid w:val="00CF0001"/>
    <w:rsid w:val="00CF45EC"/>
    <w:rsid w:val="00D000CF"/>
    <w:rsid w:val="00D066B6"/>
    <w:rsid w:val="00D06B21"/>
    <w:rsid w:val="00D15A61"/>
    <w:rsid w:val="00D6426E"/>
    <w:rsid w:val="00DA6CB5"/>
    <w:rsid w:val="00DB3C35"/>
    <w:rsid w:val="00DC22EC"/>
    <w:rsid w:val="00DD09EA"/>
    <w:rsid w:val="00DF1044"/>
    <w:rsid w:val="00DF2881"/>
    <w:rsid w:val="00E00F36"/>
    <w:rsid w:val="00E1770A"/>
    <w:rsid w:val="00E36749"/>
    <w:rsid w:val="00E4261C"/>
    <w:rsid w:val="00E54301"/>
    <w:rsid w:val="00E55E48"/>
    <w:rsid w:val="00E73266"/>
    <w:rsid w:val="00E776E0"/>
    <w:rsid w:val="00EA3092"/>
    <w:rsid w:val="00EB5814"/>
    <w:rsid w:val="00EB6408"/>
    <w:rsid w:val="00ED6B45"/>
    <w:rsid w:val="00F144BA"/>
    <w:rsid w:val="00F161FB"/>
    <w:rsid w:val="00F46610"/>
    <w:rsid w:val="00F70720"/>
    <w:rsid w:val="00F9528E"/>
    <w:rsid w:val="00FA5B3D"/>
    <w:rsid w:val="00FB0401"/>
    <w:rsid w:val="00FD2AEA"/>
    <w:rsid w:val="00FD7A8B"/>
    <w:rsid w:val="00FF1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B2C57C"/>
  <w15:docId w15:val="{F9069665-E589-4446-9080-DCD3ABC8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F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5E4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9EC"/>
    <w:pPr>
      <w:ind w:left="720"/>
      <w:contextualSpacing/>
    </w:pPr>
  </w:style>
  <w:style w:type="character" w:styleId="CommentReference">
    <w:name w:val="annotation reference"/>
    <w:basedOn w:val="DefaultParagraphFont"/>
    <w:uiPriority w:val="99"/>
    <w:semiHidden/>
    <w:unhideWhenUsed/>
    <w:rsid w:val="001F18A2"/>
    <w:rPr>
      <w:sz w:val="18"/>
      <w:szCs w:val="18"/>
    </w:rPr>
  </w:style>
  <w:style w:type="paragraph" w:styleId="CommentText">
    <w:name w:val="annotation text"/>
    <w:basedOn w:val="Normal"/>
    <w:link w:val="CommentTextChar"/>
    <w:uiPriority w:val="99"/>
    <w:semiHidden/>
    <w:unhideWhenUsed/>
    <w:rsid w:val="001F18A2"/>
  </w:style>
  <w:style w:type="character" w:customStyle="1" w:styleId="CommentTextChar">
    <w:name w:val="Comment Text Char"/>
    <w:basedOn w:val="DefaultParagraphFont"/>
    <w:link w:val="CommentText"/>
    <w:uiPriority w:val="99"/>
    <w:semiHidden/>
    <w:rsid w:val="001F18A2"/>
  </w:style>
  <w:style w:type="paragraph" w:styleId="CommentSubject">
    <w:name w:val="annotation subject"/>
    <w:basedOn w:val="CommentText"/>
    <w:next w:val="CommentText"/>
    <w:link w:val="CommentSubjectChar"/>
    <w:uiPriority w:val="99"/>
    <w:semiHidden/>
    <w:unhideWhenUsed/>
    <w:rsid w:val="001F18A2"/>
    <w:rPr>
      <w:b/>
      <w:bCs/>
      <w:sz w:val="20"/>
      <w:szCs w:val="20"/>
    </w:rPr>
  </w:style>
  <w:style w:type="character" w:customStyle="1" w:styleId="CommentSubjectChar">
    <w:name w:val="Comment Subject Char"/>
    <w:basedOn w:val="CommentTextChar"/>
    <w:link w:val="CommentSubject"/>
    <w:uiPriority w:val="99"/>
    <w:semiHidden/>
    <w:rsid w:val="001F18A2"/>
    <w:rPr>
      <w:b/>
      <w:bCs/>
      <w:sz w:val="20"/>
      <w:szCs w:val="20"/>
    </w:rPr>
  </w:style>
  <w:style w:type="paragraph" w:styleId="BalloonText">
    <w:name w:val="Balloon Text"/>
    <w:basedOn w:val="Normal"/>
    <w:link w:val="BalloonTextChar"/>
    <w:uiPriority w:val="99"/>
    <w:semiHidden/>
    <w:unhideWhenUsed/>
    <w:rsid w:val="001F18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18A2"/>
    <w:rPr>
      <w:rFonts w:ascii="Times New Roman" w:hAnsi="Times New Roman" w:cs="Times New Roman"/>
      <w:sz w:val="18"/>
      <w:szCs w:val="18"/>
    </w:rPr>
  </w:style>
  <w:style w:type="paragraph" w:styleId="FootnoteText">
    <w:name w:val="footnote text"/>
    <w:basedOn w:val="Normal"/>
    <w:link w:val="FootnoteTextChar"/>
    <w:uiPriority w:val="99"/>
    <w:unhideWhenUsed/>
    <w:rsid w:val="00F9528E"/>
  </w:style>
  <w:style w:type="character" w:customStyle="1" w:styleId="FootnoteTextChar">
    <w:name w:val="Footnote Text Char"/>
    <w:basedOn w:val="DefaultParagraphFont"/>
    <w:link w:val="FootnoteText"/>
    <w:uiPriority w:val="99"/>
    <w:rsid w:val="00F9528E"/>
  </w:style>
  <w:style w:type="character" w:styleId="FootnoteReference">
    <w:name w:val="footnote reference"/>
    <w:basedOn w:val="DefaultParagraphFont"/>
    <w:uiPriority w:val="99"/>
    <w:unhideWhenUsed/>
    <w:rsid w:val="00F9528E"/>
    <w:rPr>
      <w:vertAlign w:val="superscript"/>
    </w:rPr>
  </w:style>
  <w:style w:type="paragraph" w:styleId="NoSpacing">
    <w:name w:val="No Spacing"/>
    <w:uiPriority w:val="1"/>
    <w:qFormat/>
    <w:rsid w:val="00882194"/>
  </w:style>
  <w:style w:type="paragraph" w:styleId="NormalWeb">
    <w:name w:val="Normal (Web)"/>
    <w:basedOn w:val="Normal"/>
    <w:uiPriority w:val="99"/>
    <w:semiHidden/>
    <w:unhideWhenUsed/>
    <w:rsid w:val="00FD2AEA"/>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1B4F3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B4F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F3C"/>
    <w:rPr>
      <w:rFonts w:asciiTheme="majorHAnsi" w:eastAsiaTheme="majorEastAsia" w:hAnsiTheme="majorHAnsi" w:cstheme="majorBidi"/>
      <w:spacing w:val="-10"/>
      <w:kern w:val="28"/>
      <w:sz w:val="56"/>
      <w:szCs w:val="56"/>
    </w:rPr>
  </w:style>
  <w:style w:type="paragraph" w:customStyle="1" w:styleId="Default">
    <w:name w:val="Default"/>
    <w:rsid w:val="00F70720"/>
    <w:pPr>
      <w:autoSpaceDE w:val="0"/>
      <w:autoSpaceDN w:val="0"/>
      <w:adjustRightInd w:val="0"/>
    </w:pPr>
    <w:rPr>
      <w:rFonts w:ascii="Candara" w:hAnsi="Candara" w:cs="Candara"/>
      <w:color w:val="000000"/>
      <w:lang w:val="en-GB"/>
    </w:rPr>
  </w:style>
  <w:style w:type="paragraph" w:customStyle="1" w:styleId="Pa0">
    <w:name w:val="Pa0"/>
    <w:basedOn w:val="Default"/>
    <w:next w:val="Default"/>
    <w:uiPriority w:val="99"/>
    <w:rsid w:val="00F70720"/>
    <w:pPr>
      <w:spacing w:line="241" w:lineRule="atLeast"/>
    </w:pPr>
    <w:rPr>
      <w:rFonts w:cstheme="minorBidi"/>
      <w:color w:val="auto"/>
    </w:rPr>
  </w:style>
  <w:style w:type="character" w:customStyle="1" w:styleId="A1">
    <w:name w:val="A1"/>
    <w:uiPriority w:val="99"/>
    <w:rsid w:val="00F70720"/>
    <w:rPr>
      <w:rFonts w:cs="Candara"/>
      <w:color w:val="000000"/>
      <w:sz w:val="22"/>
      <w:szCs w:val="22"/>
    </w:rPr>
  </w:style>
  <w:style w:type="character" w:customStyle="1" w:styleId="A2">
    <w:name w:val="A2"/>
    <w:uiPriority w:val="99"/>
    <w:rsid w:val="00F70720"/>
    <w:rPr>
      <w:rFonts w:cs="Candara"/>
      <w:color w:val="000000"/>
      <w:sz w:val="12"/>
      <w:szCs w:val="12"/>
    </w:rPr>
  </w:style>
  <w:style w:type="paragraph" w:styleId="Header">
    <w:name w:val="header"/>
    <w:basedOn w:val="Normal"/>
    <w:link w:val="HeaderChar"/>
    <w:uiPriority w:val="99"/>
    <w:unhideWhenUsed/>
    <w:rsid w:val="001F3683"/>
    <w:pPr>
      <w:tabs>
        <w:tab w:val="center" w:pos="4513"/>
        <w:tab w:val="right" w:pos="9026"/>
      </w:tabs>
    </w:pPr>
  </w:style>
  <w:style w:type="character" w:customStyle="1" w:styleId="HeaderChar">
    <w:name w:val="Header Char"/>
    <w:basedOn w:val="DefaultParagraphFont"/>
    <w:link w:val="Header"/>
    <w:uiPriority w:val="99"/>
    <w:rsid w:val="001F3683"/>
  </w:style>
  <w:style w:type="paragraph" w:styleId="Footer">
    <w:name w:val="footer"/>
    <w:basedOn w:val="Normal"/>
    <w:link w:val="FooterChar"/>
    <w:uiPriority w:val="99"/>
    <w:unhideWhenUsed/>
    <w:rsid w:val="001F3683"/>
    <w:pPr>
      <w:tabs>
        <w:tab w:val="center" w:pos="4513"/>
        <w:tab w:val="right" w:pos="9026"/>
      </w:tabs>
    </w:pPr>
  </w:style>
  <w:style w:type="character" w:customStyle="1" w:styleId="FooterChar">
    <w:name w:val="Footer Char"/>
    <w:basedOn w:val="DefaultParagraphFont"/>
    <w:link w:val="Footer"/>
    <w:uiPriority w:val="99"/>
    <w:rsid w:val="001F3683"/>
  </w:style>
  <w:style w:type="character" w:styleId="Hyperlink">
    <w:name w:val="Hyperlink"/>
    <w:basedOn w:val="DefaultParagraphFont"/>
    <w:uiPriority w:val="99"/>
    <w:unhideWhenUsed/>
    <w:rsid w:val="00E776E0"/>
    <w:rPr>
      <w:color w:val="0563C1" w:themeColor="hyperlink"/>
      <w:u w:val="single"/>
    </w:rPr>
  </w:style>
  <w:style w:type="character" w:styleId="UnresolvedMention">
    <w:name w:val="Unresolved Mention"/>
    <w:basedOn w:val="DefaultParagraphFont"/>
    <w:uiPriority w:val="99"/>
    <w:semiHidden/>
    <w:unhideWhenUsed/>
    <w:rsid w:val="00E776E0"/>
    <w:rPr>
      <w:color w:val="808080"/>
      <w:shd w:val="clear" w:color="auto" w:fill="E6E6E6"/>
    </w:rPr>
  </w:style>
  <w:style w:type="character" w:customStyle="1" w:styleId="Heading2Char">
    <w:name w:val="Heading 2 Char"/>
    <w:basedOn w:val="DefaultParagraphFont"/>
    <w:link w:val="Heading2"/>
    <w:uiPriority w:val="9"/>
    <w:rsid w:val="00E55E4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49102">
      <w:bodyDiv w:val="1"/>
      <w:marLeft w:val="0"/>
      <w:marRight w:val="0"/>
      <w:marTop w:val="0"/>
      <w:marBottom w:val="0"/>
      <w:divBdr>
        <w:top w:val="none" w:sz="0" w:space="0" w:color="auto"/>
        <w:left w:val="none" w:sz="0" w:space="0" w:color="auto"/>
        <w:bottom w:val="none" w:sz="0" w:space="0" w:color="auto"/>
        <w:right w:val="none" w:sz="0" w:space="0" w:color="auto"/>
      </w:divBdr>
      <w:divsChild>
        <w:div w:id="1059354530">
          <w:marLeft w:val="0"/>
          <w:marRight w:val="0"/>
          <w:marTop w:val="0"/>
          <w:marBottom w:val="0"/>
          <w:divBdr>
            <w:top w:val="none" w:sz="0" w:space="0" w:color="auto"/>
            <w:left w:val="none" w:sz="0" w:space="0" w:color="auto"/>
            <w:bottom w:val="none" w:sz="0" w:space="0" w:color="auto"/>
            <w:right w:val="none" w:sz="0" w:space="0" w:color="auto"/>
          </w:divBdr>
          <w:divsChild>
            <w:div w:id="1156848136">
              <w:marLeft w:val="0"/>
              <w:marRight w:val="0"/>
              <w:marTop w:val="0"/>
              <w:marBottom w:val="0"/>
              <w:divBdr>
                <w:top w:val="none" w:sz="0" w:space="0" w:color="auto"/>
                <w:left w:val="none" w:sz="0" w:space="0" w:color="auto"/>
                <w:bottom w:val="none" w:sz="0" w:space="0" w:color="auto"/>
                <w:right w:val="none" w:sz="0" w:space="0" w:color="auto"/>
              </w:divBdr>
              <w:divsChild>
                <w:div w:id="1476216522">
                  <w:marLeft w:val="0"/>
                  <w:marRight w:val="0"/>
                  <w:marTop w:val="0"/>
                  <w:marBottom w:val="0"/>
                  <w:divBdr>
                    <w:top w:val="none" w:sz="0" w:space="0" w:color="auto"/>
                    <w:left w:val="none" w:sz="0" w:space="0" w:color="auto"/>
                    <w:bottom w:val="none" w:sz="0" w:space="0" w:color="auto"/>
                    <w:right w:val="none" w:sz="0" w:space="0" w:color="auto"/>
                  </w:divBdr>
                  <w:divsChild>
                    <w:div w:id="4001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15280">
      <w:bodyDiv w:val="1"/>
      <w:marLeft w:val="0"/>
      <w:marRight w:val="0"/>
      <w:marTop w:val="0"/>
      <w:marBottom w:val="0"/>
      <w:divBdr>
        <w:top w:val="none" w:sz="0" w:space="0" w:color="auto"/>
        <w:left w:val="none" w:sz="0" w:space="0" w:color="auto"/>
        <w:bottom w:val="none" w:sz="0" w:space="0" w:color="auto"/>
        <w:right w:val="none" w:sz="0" w:space="0" w:color="auto"/>
      </w:divBdr>
    </w:div>
    <w:div w:id="929313041">
      <w:bodyDiv w:val="1"/>
      <w:marLeft w:val="0"/>
      <w:marRight w:val="0"/>
      <w:marTop w:val="0"/>
      <w:marBottom w:val="0"/>
      <w:divBdr>
        <w:top w:val="none" w:sz="0" w:space="0" w:color="auto"/>
        <w:left w:val="none" w:sz="0" w:space="0" w:color="auto"/>
        <w:bottom w:val="none" w:sz="0" w:space="0" w:color="auto"/>
        <w:right w:val="none" w:sz="0" w:space="0" w:color="auto"/>
      </w:divBdr>
    </w:div>
    <w:div w:id="1204560945">
      <w:bodyDiv w:val="1"/>
      <w:marLeft w:val="0"/>
      <w:marRight w:val="0"/>
      <w:marTop w:val="0"/>
      <w:marBottom w:val="0"/>
      <w:divBdr>
        <w:top w:val="none" w:sz="0" w:space="0" w:color="auto"/>
        <w:left w:val="none" w:sz="0" w:space="0" w:color="auto"/>
        <w:bottom w:val="none" w:sz="0" w:space="0" w:color="auto"/>
        <w:right w:val="none" w:sz="0" w:space="0" w:color="auto"/>
      </w:divBdr>
    </w:div>
    <w:div w:id="1704597323">
      <w:bodyDiv w:val="1"/>
      <w:marLeft w:val="0"/>
      <w:marRight w:val="0"/>
      <w:marTop w:val="0"/>
      <w:marBottom w:val="0"/>
      <w:divBdr>
        <w:top w:val="none" w:sz="0" w:space="0" w:color="auto"/>
        <w:left w:val="none" w:sz="0" w:space="0" w:color="auto"/>
        <w:bottom w:val="none" w:sz="0" w:space="0" w:color="auto"/>
        <w:right w:val="none" w:sz="0" w:space="0" w:color="auto"/>
      </w:divBdr>
    </w:div>
    <w:div w:id="2081639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s.google.com/document/d/1AZnQ0wAaT3b5TMiJQbwoN0IRl5JXzl6dxdcwviZlUyM/ed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32F61-A06B-4F70-8372-FED1DADC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Stacy Nam</cp:lastModifiedBy>
  <cp:revision>9</cp:revision>
  <dcterms:created xsi:type="dcterms:W3CDTF">2018-03-01T15:41:00Z</dcterms:created>
  <dcterms:modified xsi:type="dcterms:W3CDTF">2018-03-28T19:54:00Z</dcterms:modified>
</cp:coreProperties>
</file>