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8C85" w14:textId="77777777" w:rsidR="00736068" w:rsidRDefault="00736068" w:rsidP="00774D0D">
      <w:pPr>
        <w:spacing w:after="0" w:line="240" w:lineRule="auto"/>
        <w:contextualSpacing/>
        <w:rPr>
          <w:rFonts w:ascii="Candara" w:hAnsi="Candara"/>
          <w:b/>
          <w:bCs/>
          <w:u w:val="single"/>
        </w:rPr>
      </w:pPr>
    </w:p>
    <w:p w14:paraId="0EC086C9" w14:textId="77777777" w:rsidR="00C955B6" w:rsidRPr="00774D0D" w:rsidRDefault="005F3386" w:rsidP="005C53CC">
      <w:pPr>
        <w:spacing w:after="0" w:line="240" w:lineRule="auto"/>
        <w:contextualSpacing/>
        <w:jc w:val="center"/>
        <w:rPr>
          <w:rFonts w:ascii="Candara" w:hAnsi="Candara"/>
          <w:b/>
          <w:bCs/>
          <w:sz w:val="24"/>
          <w:u w:val="single"/>
        </w:rPr>
      </w:pPr>
      <w:r w:rsidRPr="00774D0D">
        <w:rPr>
          <w:rFonts w:ascii="Candara" w:hAnsi="Candara"/>
          <w:b/>
          <w:bCs/>
          <w:sz w:val="24"/>
          <w:u w:val="single"/>
        </w:rPr>
        <w:t>Financing of International Development by US Faith-based NGOs 2011-2015</w:t>
      </w:r>
    </w:p>
    <w:p w14:paraId="0AFF96E7" w14:textId="77777777" w:rsidR="005F3386" w:rsidRDefault="005F3386" w:rsidP="005C53CC">
      <w:pPr>
        <w:spacing w:after="0" w:line="240" w:lineRule="auto"/>
        <w:contextualSpacing/>
        <w:jc w:val="center"/>
        <w:rPr>
          <w:rFonts w:ascii="Candara" w:hAnsi="Candara"/>
          <w:b/>
          <w:bCs/>
          <w:u w:val="single"/>
        </w:rPr>
      </w:pPr>
    </w:p>
    <w:p w14:paraId="0A4CD325" w14:textId="77777777" w:rsidR="005F3386" w:rsidRDefault="00136106" w:rsidP="005C53CC">
      <w:pPr>
        <w:spacing w:after="0" w:line="240" w:lineRule="auto"/>
        <w:contextualSpacing/>
        <w:jc w:val="center"/>
        <w:rPr>
          <w:rFonts w:ascii="Candara" w:hAnsi="Candara"/>
          <w:b/>
          <w:bCs/>
        </w:rPr>
      </w:pPr>
      <w:r>
        <w:rPr>
          <w:rFonts w:ascii="Candara" w:hAnsi="Candara"/>
          <w:b/>
          <w:bCs/>
          <w:highlight w:val="yellow"/>
        </w:rPr>
        <w:t>US FBOs r</w:t>
      </w:r>
      <w:r w:rsidR="005F3386" w:rsidRPr="005F3386">
        <w:rPr>
          <w:rFonts w:ascii="Candara" w:hAnsi="Candara"/>
          <w:b/>
          <w:bCs/>
          <w:highlight w:val="yellow"/>
        </w:rPr>
        <w:t>aised $6.58b in FY 2015, of which 87% from private sources</w:t>
      </w:r>
    </w:p>
    <w:p w14:paraId="404CE0E6" w14:textId="77777777" w:rsidR="005F3386" w:rsidRPr="00136106" w:rsidRDefault="005F3386" w:rsidP="005C53CC">
      <w:pPr>
        <w:spacing w:after="0" w:line="240" w:lineRule="auto"/>
        <w:contextualSpacing/>
        <w:jc w:val="center"/>
        <w:rPr>
          <w:rFonts w:ascii="Candara" w:hAnsi="Candara"/>
          <w:b/>
          <w:bCs/>
        </w:rPr>
      </w:pPr>
      <w:r w:rsidRPr="00136106">
        <w:rPr>
          <w:rFonts w:ascii="Candara" w:hAnsi="Candara"/>
          <w:b/>
          <w:bCs/>
          <w:highlight w:val="yellow"/>
        </w:rPr>
        <w:t>The 27 US</w:t>
      </w:r>
      <w:r w:rsidR="00136106">
        <w:rPr>
          <w:rFonts w:ascii="Candara" w:hAnsi="Candara"/>
          <w:b/>
          <w:bCs/>
          <w:highlight w:val="yellow"/>
        </w:rPr>
        <w:t xml:space="preserve"> </w:t>
      </w:r>
      <w:r w:rsidRPr="00136106">
        <w:rPr>
          <w:rFonts w:ascii="Candara" w:hAnsi="Candara"/>
          <w:b/>
          <w:bCs/>
          <w:highlight w:val="yellow"/>
        </w:rPr>
        <w:t>FBOs recei</w:t>
      </w:r>
      <w:r w:rsidR="00A445C9">
        <w:rPr>
          <w:rFonts w:ascii="Candara" w:hAnsi="Candara"/>
          <w:b/>
          <w:bCs/>
          <w:highlight w:val="yellow"/>
        </w:rPr>
        <w:t xml:space="preserve">ving public funding leveraged </w:t>
      </w:r>
      <w:r w:rsidR="004F1668">
        <w:rPr>
          <w:rFonts w:ascii="Candara" w:hAnsi="Candara"/>
          <w:b/>
          <w:bCs/>
          <w:highlight w:val="yellow"/>
        </w:rPr>
        <w:t xml:space="preserve">about </w:t>
      </w:r>
      <w:r w:rsidR="00A445C9">
        <w:rPr>
          <w:rFonts w:ascii="Candara" w:hAnsi="Candara"/>
          <w:b/>
          <w:bCs/>
          <w:highlight w:val="yellow"/>
        </w:rPr>
        <w:t>$5</w:t>
      </w:r>
      <w:r w:rsidRPr="00136106">
        <w:rPr>
          <w:rFonts w:ascii="Candara" w:hAnsi="Candara"/>
          <w:b/>
          <w:bCs/>
          <w:highlight w:val="yellow"/>
        </w:rPr>
        <w:t xml:space="preserve"> privately for every $1 fr</w:t>
      </w:r>
      <w:bookmarkStart w:id="0" w:name="_GoBack"/>
      <w:bookmarkEnd w:id="0"/>
      <w:r w:rsidRPr="00136106">
        <w:rPr>
          <w:rFonts w:ascii="Candara" w:hAnsi="Candara"/>
          <w:b/>
          <w:bCs/>
          <w:highlight w:val="yellow"/>
        </w:rPr>
        <w:t>om USG</w:t>
      </w:r>
    </w:p>
    <w:p w14:paraId="605CA2B5" w14:textId="77777777" w:rsidR="005F3386" w:rsidRPr="005F3386" w:rsidRDefault="005F3386" w:rsidP="005C53CC">
      <w:pPr>
        <w:spacing w:after="0" w:line="240" w:lineRule="auto"/>
        <w:contextualSpacing/>
        <w:jc w:val="center"/>
        <w:rPr>
          <w:rFonts w:ascii="Candara" w:hAnsi="Candara"/>
          <w:b/>
          <w:bCs/>
          <w:u w:val="single"/>
        </w:rPr>
      </w:pPr>
    </w:p>
    <w:p w14:paraId="5CDADAB6" w14:textId="77777777" w:rsidR="00C84DE1" w:rsidRPr="0084213B" w:rsidRDefault="00F669D9" w:rsidP="005C53CC">
      <w:pPr>
        <w:pStyle w:val="ListParagraph"/>
        <w:numPr>
          <w:ilvl w:val="0"/>
          <w:numId w:val="1"/>
        </w:numPr>
        <w:spacing w:after="0" w:line="240" w:lineRule="auto"/>
        <w:rPr>
          <w:rFonts w:ascii="Candara" w:hAnsi="Candara"/>
        </w:rPr>
      </w:pPr>
      <w:r w:rsidRPr="00F669D9">
        <w:rPr>
          <w:rFonts w:ascii="Candara" w:hAnsi="Candara"/>
          <w:b/>
          <w:bCs/>
        </w:rPr>
        <w:t>Introduction</w:t>
      </w:r>
    </w:p>
    <w:p w14:paraId="5305539B" w14:textId="77777777" w:rsidR="0084213B" w:rsidRPr="0084213B" w:rsidRDefault="0084213B" w:rsidP="0084213B">
      <w:pPr>
        <w:spacing w:after="0" w:line="240" w:lineRule="auto"/>
        <w:rPr>
          <w:rFonts w:ascii="Candara" w:hAnsi="Candara"/>
        </w:rPr>
      </w:pPr>
    </w:p>
    <w:p w14:paraId="0E6532D5" w14:textId="77777777" w:rsidR="00F669D9" w:rsidRDefault="00383288" w:rsidP="00A55A46">
      <w:pPr>
        <w:spacing w:after="0" w:line="240" w:lineRule="auto"/>
        <w:ind w:firstLine="360"/>
        <w:contextualSpacing/>
        <w:rPr>
          <w:rFonts w:ascii="Candara" w:hAnsi="Candara"/>
        </w:rPr>
      </w:pPr>
      <w:r w:rsidRPr="00F669D9">
        <w:rPr>
          <w:rFonts w:ascii="Candara" w:hAnsi="Candara"/>
        </w:rPr>
        <w:t xml:space="preserve">Faith-based NGOs are known to contribute substantial resources—financial, technical, human, and in-kind—to international development activities and humanitarian assistance. Political pressure is increasing in some quarters to cut public spending on foreign </w:t>
      </w:r>
      <w:r w:rsidR="00A55A46">
        <w:rPr>
          <w:rFonts w:ascii="Candara" w:hAnsi="Candara"/>
        </w:rPr>
        <w:t>assistance leaving</w:t>
      </w:r>
      <w:r w:rsidR="005C53CC">
        <w:rPr>
          <w:rFonts w:ascii="Candara" w:hAnsi="Candara"/>
        </w:rPr>
        <w:t xml:space="preserve"> </w:t>
      </w:r>
      <w:r w:rsidRPr="00F669D9">
        <w:rPr>
          <w:rFonts w:ascii="Candara" w:hAnsi="Candara"/>
        </w:rPr>
        <w:t>religious and voluntary sectors</w:t>
      </w:r>
      <w:r w:rsidR="00A55A46">
        <w:rPr>
          <w:rFonts w:ascii="Candara" w:hAnsi="Candara"/>
        </w:rPr>
        <w:t xml:space="preserve"> to fundraise for aid</w:t>
      </w:r>
      <w:r w:rsidRPr="00F669D9">
        <w:rPr>
          <w:rFonts w:ascii="Candara" w:hAnsi="Candara"/>
        </w:rPr>
        <w:t>.</w:t>
      </w:r>
      <w:r w:rsidR="0084213B">
        <w:rPr>
          <w:rFonts w:ascii="Candara" w:hAnsi="Candara"/>
        </w:rPr>
        <w:t xml:space="preserve"> It is critical to understand f</w:t>
      </w:r>
      <w:r w:rsidR="005C53CC">
        <w:rPr>
          <w:rFonts w:ascii="Candara" w:hAnsi="Candara"/>
        </w:rPr>
        <w:t xml:space="preserve">aith-based entities are effective partners implementing government grants and are already secure substantial </w:t>
      </w:r>
      <w:r w:rsidR="005C53CC" w:rsidRPr="00F669D9">
        <w:rPr>
          <w:rFonts w:ascii="Candara" w:hAnsi="Candara"/>
        </w:rPr>
        <w:t>private resources</w:t>
      </w:r>
      <w:r w:rsidR="005C53CC">
        <w:rPr>
          <w:rFonts w:ascii="Candara" w:hAnsi="Candara"/>
        </w:rPr>
        <w:t xml:space="preserve"> for development assistance</w:t>
      </w:r>
      <w:r w:rsidRPr="00F669D9">
        <w:rPr>
          <w:rFonts w:ascii="Candara" w:hAnsi="Candara"/>
        </w:rPr>
        <w:t>.</w:t>
      </w:r>
      <w:r w:rsidR="00F669D9" w:rsidRPr="00F669D9">
        <w:rPr>
          <w:rFonts w:ascii="Candara" w:hAnsi="Candara"/>
        </w:rPr>
        <w:t xml:space="preserve"> Data are limited on the </w:t>
      </w:r>
      <w:r w:rsidR="0048441C" w:rsidRPr="00F669D9">
        <w:rPr>
          <w:rFonts w:ascii="Candara" w:hAnsi="Candara"/>
        </w:rPr>
        <w:t xml:space="preserve">on revenues and expenditures </w:t>
      </w:r>
      <w:r w:rsidR="00F669D9" w:rsidRPr="00F669D9">
        <w:rPr>
          <w:rFonts w:ascii="Candara" w:hAnsi="Candara"/>
        </w:rPr>
        <w:t>of faith grou</w:t>
      </w:r>
      <w:r w:rsidR="0048441C">
        <w:rPr>
          <w:rFonts w:ascii="Candara" w:hAnsi="Candara"/>
        </w:rPr>
        <w:t>ps to international development. O</w:t>
      </w:r>
      <w:r w:rsidR="00F669D9" w:rsidRPr="00F669D9">
        <w:rPr>
          <w:rFonts w:ascii="Candara" w:hAnsi="Candara"/>
        </w:rPr>
        <w:t>ne publicly available source of data is the US Internal Revenue Service (IRS) annual fili</w:t>
      </w:r>
      <w:r w:rsidR="0048441C">
        <w:rPr>
          <w:rFonts w:ascii="Candara" w:hAnsi="Candara"/>
        </w:rPr>
        <w:t>ngs required of tax-exempt Non-</w:t>
      </w:r>
      <w:r w:rsidR="00F669D9" w:rsidRPr="00F669D9">
        <w:rPr>
          <w:rFonts w:ascii="Candara" w:hAnsi="Candara"/>
        </w:rPr>
        <w:t>Governmental Organizations (NGOs). This report uses publicly available IRS 990 forms of 71 of the largest US faith-based NGOs engaged in international development and aid activities to quantify the private and public revenues and expenditures from FY2011-FY2015.</w:t>
      </w:r>
    </w:p>
    <w:p w14:paraId="5B5BE0D5" w14:textId="77777777" w:rsidR="0084213B" w:rsidRPr="00F669D9" w:rsidRDefault="0084213B" w:rsidP="0048441C">
      <w:pPr>
        <w:spacing w:after="0" w:line="240" w:lineRule="auto"/>
        <w:ind w:firstLine="360"/>
        <w:contextualSpacing/>
        <w:rPr>
          <w:rFonts w:ascii="Candara" w:hAnsi="Candara"/>
          <w:vertAlign w:val="superscript"/>
        </w:rPr>
      </w:pPr>
    </w:p>
    <w:p w14:paraId="6ECD21D8" w14:textId="77777777" w:rsidR="00383288" w:rsidRDefault="00383288" w:rsidP="0048441C">
      <w:pPr>
        <w:pStyle w:val="ListParagraph"/>
        <w:numPr>
          <w:ilvl w:val="0"/>
          <w:numId w:val="1"/>
        </w:numPr>
        <w:spacing w:after="0" w:line="240" w:lineRule="auto"/>
        <w:rPr>
          <w:rFonts w:ascii="Candara" w:hAnsi="Candara"/>
          <w:b/>
        </w:rPr>
      </w:pPr>
      <w:r w:rsidRPr="00F669D9">
        <w:rPr>
          <w:rFonts w:ascii="Candara" w:hAnsi="Candara"/>
          <w:b/>
        </w:rPr>
        <w:t xml:space="preserve">Analysis of FY2015 Revenues &amp; Expenditures from Leading US Faith-Based </w:t>
      </w:r>
      <w:r w:rsidR="00F669D9" w:rsidRPr="00F669D9">
        <w:rPr>
          <w:rFonts w:ascii="Candara" w:hAnsi="Candara"/>
          <w:b/>
        </w:rPr>
        <w:t xml:space="preserve">NGOs </w:t>
      </w:r>
    </w:p>
    <w:p w14:paraId="4E984CD6" w14:textId="77777777" w:rsidR="0084213B" w:rsidRPr="00F669D9" w:rsidRDefault="0084213B" w:rsidP="0084213B">
      <w:pPr>
        <w:pStyle w:val="ListParagraph"/>
        <w:spacing w:after="0" w:line="240" w:lineRule="auto"/>
        <w:ind w:left="1080"/>
        <w:rPr>
          <w:rFonts w:ascii="Candara" w:hAnsi="Candara"/>
          <w:b/>
        </w:rPr>
      </w:pPr>
    </w:p>
    <w:p w14:paraId="43C880D6" w14:textId="77777777" w:rsidR="00383288" w:rsidRDefault="00383288" w:rsidP="0084213B">
      <w:pPr>
        <w:spacing w:after="0" w:line="240" w:lineRule="auto"/>
        <w:ind w:firstLine="360"/>
        <w:contextualSpacing/>
        <w:rPr>
          <w:rFonts w:ascii="Candara" w:hAnsi="Candara"/>
        </w:rPr>
      </w:pPr>
      <w:r w:rsidRPr="00F669D9">
        <w:rPr>
          <w:rFonts w:ascii="Candara" w:hAnsi="Candara"/>
        </w:rPr>
        <w:t>In FY2015, US Faith-based NGOs raised substantial revenues from both private and public sources</w:t>
      </w:r>
      <w:r w:rsidRPr="005F3386">
        <w:rPr>
          <w:rFonts w:ascii="Candara" w:hAnsi="Candara"/>
        </w:rPr>
        <w:t>.</w:t>
      </w:r>
      <w:r w:rsidR="00F669D9" w:rsidRPr="005F3386">
        <w:rPr>
          <w:rFonts w:ascii="Candara" w:hAnsi="Candara"/>
        </w:rPr>
        <w:t xml:space="preserve"> The total revenue for </w:t>
      </w:r>
      <w:r w:rsidRPr="005F3386">
        <w:rPr>
          <w:rFonts w:ascii="Candara" w:hAnsi="Candara"/>
        </w:rPr>
        <w:t>FY2015 was $6.58 billion</w:t>
      </w:r>
      <w:r w:rsidR="00F669D9" w:rsidRPr="005F3386">
        <w:rPr>
          <w:rFonts w:ascii="Candara" w:hAnsi="Candara"/>
        </w:rPr>
        <w:t xml:space="preserve">, </w:t>
      </w:r>
      <w:r w:rsidR="0048441C" w:rsidRPr="005F3386">
        <w:rPr>
          <w:rFonts w:ascii="Candara" w:hAnsi="Candara"/>
        </w:rPr>
        <w:t xml:space="preserve">87.4% of which was from </w:t>
      </w:r>
      <w:r w:rsidR="00F669D9" w:rsidRPr="005F3386">
        <w:rPr>
          <w:rFonts w:ascii="Candara" w:hAnsi="Candara"/>
        </w:rPr>
        <w:t xml:space="preserve">private sources </w:t>
      </w:r>
      <w:r w:rsidR="0048441C" w:rsidRPr="005F3386">
        <w:rPr>
          <w:rFonts w:ascii="Candara" w:hAnsi="Candara"/>
        </w:rPr>
        <w:t>(</w:t>
      </w:r>
      <w:r w:rsidRPr="005F3386">
        <w:rPr>
          <w:rFonts w:ascii="Candara" w:hAnsi="Candara"/>
        </w:rPr>
        <w:t>$5.75 billion)</w:t>
      </w:r>
      <w:r w:rsidR="00F669D9" w:rsidRPr="005F3386">
        <w:rPr>
          <w:rFonts w:ascii="Candara" w:hAnsi="Candara"/>
        </w:rPr>
        <w:t>.</w:t>
      </w:r>
      <w:r w:rsidR="00F669D9" w:rsidRPr="00F669D9">
        <w:rPr>
          <w:rFonts w:ascii="Candara" w:hAnsi="Candara"/>
        </w:rPr>
        <w:t xml:space="preserve"> M</w:t>
      </w:r>
      <w:r w:rsidRPr="00F669D9">
        <w:rPr>
          <w:rFonts w:ascii="Candara" w:hAnsi="Candara"/>
        </w:rPr>
        <w:t xml:space="preserve">any faith-based US NGOs are trusted implementing partners for the US </w:t>
      </w:r>
      <w:r w:rsidR="00F669D9" w:rsidRPr="00F669D9">
        <w:rPr>
          <w:rFonts w:ascii="Candara" w:hAnsi="Candara"/>
        </w:rPr>
        <w:t>government</w:t>
      </w:r>
      <w:r w:rsidR="00984562">
        <w:rPr>
          <w:rFonts w:ascii="Candara" w:hAnsi="Candara"/>
        </w:rPr>
        <w:t xml:space="preserve"> (USG)</w:t>
      </w:r>
      <w:r w:rsidR="00F669D9" w:rsidRPr="00F669D9">
        <w:rPr>
          <w:rFonts w:ascii="Candara" w:hAnsi="Candara"/>
        </w:rPr>
        <w:t>, 38%</w:t>
      </w:r>
      <w:r w:rsidRPr="00F669D9">
        <w:rPr>
          <w:rFonts w:ascii="Candara" w:hAnsi="Candara"/>
        </w:rPr>
        <w:t xml:space="preserve"> of the US faith-based NGOs received </w:t>
      </w:r>
      <w:r w:rsidR="00F669D9" w:rsidRPr="00F669D9">
        <w:rPr>
          <w:rFonts w:ascii="Candara" w:hAnsi="Candara"/>
        </w:rPr>
        <w:t>$827 million (12.6% of total revenue) from</w:t>
      </w:r>
      <w:r w:rsidR="0084213B">
        <w:rPr>
          <w:rFonts w:ascii="Candara" w:hAnsi="Candara"/>
        </w:rPr>
        <w:t xml:space="preserve"> the USG</w:t>
      </w:r>
      <w:r w:rsidR="00F669D9" w:rsidRPr="00F669D9">
        <w:rPr>
          <w:rFonts w:ascii="Candara" w:hAnsi="Candara"/>
        </w:rPr>
        <w:t xml:space="preserve">. </w:t>
      </w:r>
      <w:r w:rsidR="0084213B">
        <w:rPr>
          <w:rFonts w:ascii="Candara" w:hAnsi="Candara"/>
        </w:rPr>
        <w:t>P</w:t>
      </w:r>
      <w:r w:rsidRPr="00F669D9">
        <w:rPr>
          <w:rFonts w:ascii="Candara" w:hAnsi="Candara"/>
        </w:rPr>
        <w:t>ublic sector contributions to development are substantially leveraged by non-government revenue sources raise</w:t>
      </w:r>
      <w:r w:rsidR="00F669D9" w:rsidRPr="00F669D9">
        <w:rPr>
          <w:rFonts w:ascii="Candara" w:hAnsi="Candara"/>
        </w:rPr>
        <w:t>d privately by faith-based NGOs</w:t>
      </w:r>
      <w:r w:rsidR="0084213B">
        <w:rPr>
          <w:rFonts w:ascii="Candara" w:hAnsi="Candara"/>
        </w:rPr>
        <w:t>, as, 62% of US faith-based NGOs do not accept or receive</w:t>
      </w:r>
      <w:r w:rsidRPr="00F669D9">
        <w:rPr>
          <w:rFonts w:ascii="Candara" w:hAnsi="Candara"/>
        </w:rPr>
        <w:t xml:space="preserve"> public funds. </w:t>
      </w:r>
      <w:r w:rsidR="0084213B">
        <w:rPr>
          <w:rFonts w:ascii="Candara" w:hAnsi="Candara"/>
        </w:rPr>
        <w:t>F</w:t>
      </w:r>
      <w:r w:rsidR="003F0F7E">
        <w:rPr>
          <w:rFonts w:ascii="Candara" w:hAnsi="Candara"/>
        </w:rPr>
        <w:t>or t</w:t>
      </w:r>
      <w:r w:rsidRPr="00F669D9">
        <w:rPr>
          <w:rFonts w:ascii="Candara" w:hAnsi="Candara"/>
        </w:rPr>
        <w:t xml:space="preserve">he 27 FBOs that that </w:t>
      </w:r>
      <w:r w:rsidRPr="003F0F7E">
        <w:rPr>
          <w:rFonts w:ascii="Candara" w:hAnsi="Candara"/>
          <w:i/>
          <w:iCs/>
          <w:u w:val="single"/>
        </w:rPr>
        <w:t>did</w:t>
      </w:r>
      <w:r w:rsidRPr="00F669D9">
        <w:rPr>
          <w:rFonts w:ascii="Candara" w:hAnsi="Candara"/>
        </w:rPr>
        <w:t xml:space="preserve"> receive public funding in FY2</w:t>
      </w:r>
      <w:r w:rsidR="003F0F7E">
        <w:rPr>
          <w:rFonts w:ascii="Candara" w:hAnsi="Candara"/>
        </w:rPr>
        <w:t>015</w:t>
      </w:r>
      <w:r w:rsidRPr="00F669D9">
        <w:rPr>
          <w:rFonts w:ascii="Candara" w:hAnsi="Candara"/>
        </w:rPr>
        <w:t>, an average of 81% of revenue is from private sources,</w:t>
      </w:r>
      <w:r w:rsidRPr="00F669D9">
        <w:rPr>
          <w:rFonts w:ascii="Candara" w:hAnsi="Candara"/>
          <w:color w:val="FF0000"/>
        </w:rPr>
        <w:t xml:space="preserve"> </w:t>
      </w:r>
      <w:r w:rsidRPr="00F669D9">
        <w:rPr>
          <w:rFonts w:ascii="Candara" w:hAnsi="Candara"/>
        </w:rPr>
        <w:t>amounting to $3.6</w:t>
      </w:r>
      <w:r w:rsidR="0084213B">
        <w:rPr>
          <w:rFonts w:ascii="Candara" w:hAnsi="Candara"/>
        </w:rPr>
        <w:t xml:space="preserve"> billion</w:t>
      </w:r>
      <w:r w:rsidRPr="00F669D9">
        <w:rPr>
          <w:rFonts w:ascii="Candara" w:hAnsi="Candara"/>
        </w:rPr>
        <w:t>.</w:t>
      </w:r>
      <w:r w:rsidR="00F669D9" w:rsidRPr="00F669D9">
        <w:rPr>
          <w:rFonts w:ascii="Candara" w:hAnsi="Candara"/>
        </w:rPr>
        <w:t xml:space="preserve"> </w:t>
      </w:r>
      <w:r w:rsidR="003F0F7E">
        <w:rPr>
          <w:rFonts w:ascii="Candara" w:hAnsi="Candara"/>
        </w:rPr>
        <w:t>Finally, a</w:t>
      </w:r>
      <w:r w:rsidRPr="00F669D9">
        <w:rPr>
          <w:rFonts w:ascii="Candara" w:hAnsi="Candara"/>
        </w:rPr>
        <w:t>lmost half</w:t>
      </w:r>
      <w:r w:rsidR="0084213B">
        <w:rPr>
          <w:rFonts w:ascii="Candara" w:hAnsi="Candara"/>
        </w:rPr>
        <w:t xml:space="preserve"> </w:t>
      </w:r>
      <w:r w:rsidRPr="00F669D9">
        <w:rPr>
          <w:rFonts w:ascii="Candara" w:hAnsi="Candara"/>
        </w:rPr>
        <w:t>of the expenditures of US faith-based NGOs was allocated to grants and assist</w:t>
      </w:r>
      <w:r w:rsidR="00F669D9" w:rsidRPr="00F669D9">
        <w:rPr>
          <w:rFonts w:ascii="Candara" w:hAnsi="Candara"/>
        </w:rPr>
        <w:t xml:space="preserve">ance outside the United States. </w:t>
      </w:r>
    </w:p>
    <w:p w14:paraId="7E037C70" w14:textId="77777777" w:rsidR="0084213B" w:rsidRPr="00F669D9" w:rsidRDefault="0084213B" w:rsidP="003F0F7E">
      <w:pPr>
        <w:spacing w:after="0" w:line="240" w:lineRule="auto"/>
        <w:ind w:firstLine="360"/>
        <w:contextualSpacing/>
        <w:rPr>
          <w:rFonts w:ascii="Candara" w:hAnsi="Candara"/>
        </w:rPr>
      </w:pPr>
    </w:p>
    <w:p w14:paraId="66C9C7B3" w14:textId="77777777" w:rsidR="00C84DE1" w:rsidRPr="005C53CC" w:rsidRDefault="00C84DE1" w:rsidP="005C53CC">
      <w:pPr>
        <w:pStyle w:val="ListParagraph"/>
        <w:numPr>
          <w:ilvl w:val="0"/>
          <w:numId w:val="1"/>
        </w:numPr>
        <w:spacing w:after="0" w:line="240" w:lineRule="auto"/>
        <w:rPr>
          <w:rFonts w:ascii="Candara" w:hAnsi="Candara"/>
          <w:b/>
          <w:bCs/>
        </w:rPr>
      </w:pPr>
      <w:r w:rsidRPr="005C53CC">
        <w:rPr>
          <w:rFonts w:ascii="Candara" w:hAnsi="Candara"/>
          <w:b/>
          <w:bCs/>
        </w:rPr>
        <w:t xml:space="preserve">Trends </w:t>
      </w:r>
      <w:r w:rsidR="004469B2">
        <w:rPr>
          <w:rFonts w:ascii="Candara" w:hAnsi="Candara"/>
          <w:b/>
          <w:bCs/>
        </w:rPr>
        <w:t xml:space="preserve">in </w:t>
      </w:r>
      <w:r w:rsidR="004469B2" w:rsidRPr="00F669D9">
        <w:rPr>
          <w:rFonts w:ascii="Candara" w:hAnsi="Candara"/>
          <w:b/>
        </w:rPr>
        <w:t xml:space="preserve">Revenues &amp; Expenditures from Leading US Faith-Based NGOs </w:t>
      </w:r>
      <w:r w:rsidR="004469B2">
        <w:rPr>
          <w:rFonts w:ascii="Candara" w:hAnsi="Candara"/>
          <w:b/>
        </w:rPr>
        <w:t>(</w:t>
      </w:r>
      <w:r w:rsidR="005C53CC" w:rsidRPr="005C53CC">
        <w:rPr>
          <w:rFonts w:ascii="Candara" w:hAnsi="Candara"/>
          <w:b/>
          <w:bCs/>
        </w:rPr>
        <w:t>FY</w:t>
      </w:r>
      <w:r w:rsidRPr="005C53CC">
        <w:rPr>
          <w:rFonts w:ascii="Candara" w:hAnsi="Candara"/>
          <w:b/>
          <w:bCs/>
        </w:rPr>
        <w:t>2011</w:t>
      </w:r>
      <w:r w:rsidR="005C53CC" w:rsidRPr="005C53CC">
        <w:rPr>
          <w:rFonts w:ascii="Candara" w:hAnsi="Candara"/>
          <w:b/>
          <w:bCs/>
        </w:rPr>
        <w:t xml:space="preserve"> </w:t>
      </w:r>
      <w:r w:rsidRPr="005C53CC">
        <w:rPr>
          <w:rFonts w:ascii="Candara" w:hAnsi="Candara"/>
          <w:b/>
          <w:bCs/>
        </w:rPr>
        <w:t>-</w:t>
      </w:r>
      <w:r w:rsidR="005C53CC" w:rsidRPr="005C53CC">
        <w:rPr>
          <w:rFonts w:ascii="Candara" w:hAnsi="Candara"/>
          <w:b/>
          <w:bCs/>
        </w:rPr>
        <w:t xml:space="preserve"> FY</w:t>
      </w:r>
      <w:r w:rsidRPr="005C53CC">
        <w:rPr>
          <w:rFonts w:ascii="Candara" w:hAnsi="Candara"/>
          <w:b/>
          <w:bCs/>
        </w:rPr>
        <w:t>2015</w:t>
      </w:r>
      <w:r w:rsidR="004469B2">
        <w:rPr>
          <w:rFonts w:ascii="Candara" w:hAnsi="Candara"/>
          <w:b/>
          <w:bCs/>
        </w:rPr>
        <w:t>)</w:t>
      </w:r>
      <w:r w:rsidRPr="005C53CC">
        <w:rPr>
          <w:rFonts w:ascii="Candara" w:hAnsi="Candara"/>
          <w:b/>
          <w:bCs/>
        </w:rPr>
        <w:t xml:space="preserve"> </w:t>
      </w:r>
    </w:p>
    <w:p w14:paraId="65FF1756" w14:textId="77777777" w:rsidR="0084213B" w:rsidRDefault="0084213B" w:rsidP="005C53CC">
      <w:pPr>
        <w:spacing w:after="0" w:line="240" w:lineRule="auto"/>
        <w:ind w:firstLine="360"/>
        <w:contextualSpacing/>
        <w:rPr>
          <w:rFonts w:ascii="Candara" w:hAnsi="Candara"/>
        </w:rPr>
      </w:pPr>
    </w:p>
    <w:p w14:paraId="062F1B02" w14:textId="77777777" w:rsidR="00383288" w:rsidRDefault="00383288" w:rsidP="00984562">
      <w:pPr>
        <w:spacing w:after="0" w:line="240" w:lineRule="auto"/>
        <w:ind w:firstLine="360"/>
        <w:contextualSpacing/>
        <w:rPr>
          <w:rFonts w:ascii="Candara" w:hAnsi="Candara"/>
        </w:rPr>
      </w:pPr>
      <w:r w:rsidRPr="00F669D9">
        <w:rPr>
          <w:rFonts w:ascii="Candara" w:hAnsi="Candara"/>
        </w:rPr>
        <w:t xml:space="preserve">Total revenue from the 71 faith-based NGOs </w:t>
      </w:r>
      <w:proofErr w:type="gramStart"/>
      <w:r w:rsidRPr="00F669D9">
        <w:rPr>
          <w:rFonts w:ascii="Candara" w:hAnsi="Candara"/>
        </w:rPr>
        <w:t>that were</w:t>
      </w:r>
      <w:proofErr w:type="gramEnd"/>
      <w:r w:rsidRPr="00F669D9">
        <w:rPr>
          <w:rFonts w:ascii="Candara" w:hAnsi="Candara"/>
        </w:rPr>
        <w:t xml:space="preserve"> included in this FY2011 – FY2015 study </w:t>
      </w:r>
      <w:r w:rsidRPr="005F3386">
        <w:rPr>
          <w:rFonts w:ascii="Candara" w:hAnsi="Candara"/>
          <w:b/>
        </w:rPr>
        <w:t>increased</w:t>
      </w:r>
      <w:r w:rsidRPr="00F669D9">
        <w:rPr>
          <w:rFonts w:ascii="Candara" w:hAnsi="Candara"/>
        </w:rPr>
        <w:t xml:space="preserve"> by 13% from</w:t>
      </w:r>
      <w:r w:rsidRPr="00F669D9">
        <w:rPr>
          <w:rFonts w:ascii="Candara" w:hAnsi="Candara"/>
          <w:color w:val="FF0000"/>
        </w:rPr>
        <w:t xml:space="preserve"> </w:t>
      </w:r>
      <w:r w:rsidRPr="00F669D9">
        <w:rPr>
          <w:rFonts w:ascii="Candara" w:hAnsi="Candara"/>
        </w:rPr>
        <w:t>$5.84 billion in FY2011 to $6.58 billion FY2015.</w:t>
      </w:r>
      <w:r w:rsidRPr="00F669D9">
        <w:rPr>
          <w:rFonts w:ascii="Candara" w:hAnsi="Candara"/>
          <w:color w:val="FF0000"/>
        </w:rPr>
        <w:t xml:space="preserve"> </w:t>
      </w:r>
      <w:r w:rsidRPr="00F669D9">
        <w:rPr>
          <w:rFonts w:ascii="Candara" w:hAnsi="Candara"/>
        </w:rPr>
        <w:t>Revenue did fall slightly by less than 1% from FY2011 to FY2012, and then rise again slightly in FY2013. Decline in total revenue was significantly reversed with a sharp 12% increase in total revenue from</w:t>
      </w:r>
      <w:r w:rsidR="00984562">
        <w:rPr>
          <w:rFonts w:ascii="Candara" w:hAnsi="Candara"/>
        </w:rPr>
        <w:t xml:space="preserve"> FY2013 to FY2015 (see Figure 1)</w:t>
      </w:r>
      <w:r w:rsidRPr="00F669D9">
        <w:rPr>
          <w:rFonts w:ascii="Candara" w:hAnsi="Candara"/>
        </w:rPr>
        <w:t>.</w:t>
      </w:r>
      <w:r w:rsidR="00F669D9">
        <w:rPr>
          <w:rFonts w:ascii="Candara" w:hAnsi="Candara"/>
        </w:rPr>
        <w:t xml:space="preserve"> </w:t>
      </w:r>
      <w:r w:rsidRPr="00F669D9">
        <w:rPr>
          <w:rFonts w:ascii="Candara" w:hAnsi="Candara"/>
        </w:rPr>
        <w:t>More than half of the US fai</w:t>
      </w:r>
      <w:r w:rsidR="00984562">
        <w:rPr>
          <w:rFonts w:ascii="Candara" w:hAnsi="Candara"/>
        </w:rPr>
        <w:t xml:space="preserve">th-based NGOs in this analysis </w:t>
      </w:r>
      <w:r w:rsidRPr="00F669D9">
        <w:rPr>
          <w:rFonts w:ascii="Candara" w:hAnsi="Candara"/>
        </w:rPr>
        <w:t>received USG public funding at least one year between FY2011 – FY2015.</w:t>
      </w:r>
      <w:r w:rsidRPr="00F669D9">
        <w:rPr>
          <w:rFonts w:ascii="Candara" w:hAnsi="Candara"/>
          <w:color w:val="FF0000"/>
        </w:rPr>
        <w:t xml:space="preserve"> </w:t>
      </w:r>
      <w:r w:rsidRPr="00F669D9">
        <w:rPr>
          <w:rFonts w:ascii="Candara" w:hAnsi="Candara"/>
        </w:rPr>
        <w:t xml:space="preserve">However, revenue from USG public funding has </w:t>
      </w:r>
      <w:r w:rsidRPr="005F3386">
        <w:rPr>
          <w:rFonts w:ascii="Candara" w:hAnsi="Candara"/>
          <w:b/>
        </w:rPr>
        <w:t>declined overall</w:t>
      </w:r>
      <w:r w:rsidRPr="00F669D9">
        <w:rPr>
          <w:rFonts w:ascii="Candara" w:hAnsi="Candara"/>
        </w:rPr>
        <w:t xml:space="preserve"> among US faith-based NGOs.</w:t>
      </w:r>
      <w:r w:rsidRPr="00F669D9">
        <w:rPr>
          <w:rFonts w:ascii="Candara" w:hAnsi="Candara"/>
          <w:color w:val="FF0000"/>
        </w:rPr>
        <w:t xml:space="preserve"> </w:t>
      </w:r>
      <w:r w:rsidRPr="00F669D9">
        <w:rPr>
          <w:rFonts w:ascii="Candara" w:hAnsi="Candara"/>
        </w:rPr>
        <w:t xml:space="preserve">The total amount of US public funding among faith-based organizations receiving US public funds </w:t>
      </w:r>
      <w:r w:rsidRPr="005F3386">
        <w:rPr>
          <w:rFonts w:ascii="Candara" w:hAnsi="Candara"/>
          <w:b/>
        </w:rPr>
        <w:t xml:space="preserve">decreased </w:t>
      </w:r>
      <w:r w:rsidRPr="00F669D9">
        <w:rPr>
          <w:rFonts w:ascii="Candara" w:hAnsi="Candara"/>
        </w:rPr>
        <w:t>by 12% from $940 million to $827 million (see Figure 1). Organizations receiving public funds saw a significant decrease in US public funding per total dollar amount from FY2011 to FY2015. US faith-based NGOs receiving USG funding reported</w:t>
      </w:r>
      <w:r w:rsidR="00736068">
        <w:rPr>
          <w:rFonts w:ascii="Candara" w:hAnsi="Candara"/>
        </w:rPr>
        <w:t xml:space="preserve"> approximately </w:t>
      </w:r>
      <w:r w:rsidRPr="00F669D9">
        <w:rPr>
          <w:rFonts w:ascii="Candara" w:hAnsi="Candara"/>
        </w:rPr>
        <w:t xml:space="preserve"> $1 of</w:t>
      </w:r>
      <w:r w:rsidR="00736068">
        <w:rPr>
          <w:rFonts w:ascii="Candara" w:hAnsi="Candara"/>
        </w:rPr>
        <w:t xml:space="preserve"> USG public funding for every $4</w:t>
      </w:r>
      <w:r w:rsidRPr="00F669D9">
        <w:rPr>
          <w:rFonts w:ascii="Candara" w:hAnsi="Candara"/>
        </w:rPr>
        <w:t xml:space="preserve"> of private </w:t>
      </w:r>
      <w:r w:rsidR="0084213B">
        <w:rPr>
          <w:rFonts w:ascii="Candara" w:hAnsi="Candara"/>
        </w:rPr>
        <w:t>funding i</w:t>
      </w:r>
      <w:r w:rsidRPr="00F669D9">
        <w:rPr>
          <w:rFonts w:ascii="Candara" w:hAnsi="Candara"/>
        </w:rPr>
        <w:t>n FY201</w:t>
      </w:r>
      <w:r w:rsidR="0084213B">
        <w:rPr>
          <w:rFonts w:ascii="Candara" w:hAnsi="Candara"/>
        </w:rPr>
        <w:t>1</w:t>
      </w:r>
      <w:r w:rsidR="00736068">
        <w:rPr>
          <w:rFonts w:ascii="Candara" w:hAnsi="Candara"/>
        </w:rPr>
        <w:t>, increasing to about $5 raised privately for every $1 from</w:t>
      </w:r>
      <w:r w:rsidRPr="00F669D9">
        <w:rPr>
          <w:rFonts w:ascii="Candara" w:hAnsi="Candara"/>
        </w:rPr>
        <w:t xml:space="preserve"> </w:t>
      </w:r>
      <w:r w:rsidR="00736068">
        <w:rPr>
          <w:rFonts w:ascii="Candara" w:hAnsi="Candara"/>
        </w:rPr>
        <w:t>public</w:t>
      </w:r>
      <w:r w:rsidR="0084213B">
        <w:rPr>
          <w:rFonts w:ascii="Candara" w:hAnsi="Candara"/>
        </w:rPr>
        <w:t xml:space="preserve"> </w:t>
      </w:r>
      <w:r w:rsidR="00736068">
        <w:rPr>
          <w:rFonts w:ascii="Candara" w:hAnsi="Candara"/>
        </w:rPr>
        <w:t xml:space="preserve">sources in </w:t>
      </w:r>
      <w:r w:rsidR="0084213B">
        <w:rPr>
          <w:rFonts w:ascii="Candara" w:hAnsi="Candara"/>
        </w:rPr>
        <w:t>FY2015</w:t>
      </w:r>
      <w:r w:rsidRPr="00F669D9">
        <w:rPr>
          <w:rFonts w:ascii="Candara" w:hAnsi="Candara"/>
        </w:rPr>
        <w:t>.</w:t>
      </w:r>
    </w:p>
    <w:p w14:paraId="582BCA42" w14:textId="77777777" w:rsidR="0084213B" w:rsidRDefault="0084213B" w:rsidP="005C53CC">
      <w:pPr>
        <w:spacing w:after="0" w:line="240" w:lineRule="auto"/>
        <w:ind w:firstLine="360"/>
        <w:contextualSpacing/>
        <w:rPr>
          <w:rFonts w:ascii="Candara" w:hAnsi="Candara"/>
        </w:rPr>
      </w:pPr>
    </w:p>
    <w:p w14:paraId="22FB181A" w14:textId="77777777" w:rsidR="00136106" w:rsidRDefault="00136106" w:rsidP="005C53CC">
      <w:pPr>
        <w:spacing w:after="0" w:line="240" w:lineRule="auto"/>
        <w:ind w:firstLine="360"/>
        <w:contextualSpacing/>
        <w:rPr>
          <w:rFonts w:ascii="Candara" w:hAnsi="Candara"/>
        </w:rPr>
      </w:pPr>
    </w:p>
    <w:p w14:paraId="15D853EC" w14:textId="77777777" w:rsidR="00136106" w:rsidRDefault="00136106" w:rsidP="005C53CC">
      <w:pPr>
        <w:spacing w:after="0" w:line="240" w:lineRule="auto"/>
        <w:ind w:firstLine="360"/>
        <w:contextualSpacing/>
        <w:rPr>
          <w:rFonts w:ascii="Candara" w:hAnsi="Candara"/>
        </w:rPr>
      </w:pPr>
    </w:p>
    <w:p w14:paraId="27183A3C" w14:textId="77777777" w:rsidR="00136106" w:rsidRPr="00F669D9" w:rsidRDefault="00136106" w:rsidP="005C53CC">
      <w:pPr>
        <w:spacing w:after="0" w:line="240" w:lineRule="auto"/>
        <w:ind w:firstLine="360"/>
        <w:contextualSpacing/>
        <w:rPr>
          <w:rFonts w:ascii="Candara" w:hAnsi="Candara"/>
        </w:rPr>
      </w:pPr>
    </w:p>
    <w:p w14:paraId="677EDDCC" w14:textId="77777777" w:rsidR="00F669D9" w:rsidRPr="00136106" w:rsidRDefault="005C53CC" w:rsidP="00136106">
      <w:pPr>
        <w:pStyle w:val="ListParagraph"/>
        <w:numPr>
          <w:ilvl w:val="0"/>
          <w:numId w:val="1"/>
        </w:numPr>
        <w:spacing w:after="0" w:line="240" w:lineRule="auto"/>
        <w:rPr>
          <w:rFonts w:ascii="Candara" w:hAnsi="Candara"/>
          <w:b/>
          <w:bCs/>
        </w:rPr>
      </w:pPr>
      <w:r w:rsidRPr="00136106">
        <w:rPr>
          <w:rFonts w:ascii="Candara" w:hAnsi="Candara"/>
          <w:b/>
          <w:bCs/>
        </w:rPr>
        <w:t>Conclusions</w:t>
      </w:r>
    </w:p>
    <w:p w14:paraId="090FB853" w14:textId="77777777" w:rsidR="0084213B" w:rsidRPr="005C53CC" w:rsidRDefault="0084213B" w:rsidP="0084213B">
      <w:pPr>
        <w:pStyle w:val="ListParagraph"/>
        <w:spacing w:after="0" w:line="240" w:lineRule="auto"/>
        <w:ind w:left="1080"/>
        <w:rPr>
          <w:rFonts w:ascii="Candara" w:hAnsi="Candara"/>
          <w:b/>
          <w:bCs/>
        </w:rPr>
      </w:pPr>
    </w:p>
    <w:p w14:paraId="3B1EFA21" w14:textId="77777777" w:rsidR="003D4DA5" w:rsidRDefault="00F669D9" w:rsidP="00A55A46">
      <w:pPr>
        <w:spacing w:after="0" w:line="240" w:lineRule="auto"/>
        <w:ind w:firstLine="360"/>
        <w:contextualSpacing/>
        <w:rPr>
          <w:rFonts w:ascii="Candara" w:hAnsi="Candara"/>
        </w:rPr>
      </w:pPr>
      <w:r w:rsidRPr="00AC72AA">
        <w:rPr>
          <w:rFonts w:ascii="Candara" w:hAnsi="Candara"/>
        </w:rPr>
        <w:t>This an</w:t>
      </w:r>
      <w:r w:rsidR="0084213B">
        <w:rPr>
          <w:rFonts w:ascii="Candara" w:hAnsi="Candara"/>
        </w:rPr>
        <w:t>alysis significantly understates</w:t>
      </w:r>
      <w:r w:rsidRPr="00AC72AA">
        <w:rPr>
          <w:rFonts w:ascii="Candara" w:hAnsi="Candara"/>
        </w:rPr>
        <w:t xml:space="preserve"> private contributions of the faith community to international development becaus</w:t>
      </w:r>
      <w:r w:rsidR="005C53CC">
        <w:rPr>
          <w:rFonts w:ascii="Candara" w:hAnsi="Candara"/>
        </w:rPr>
        <w:t>e it does not include data from r</w:t>
      </w:r>
      <w:r w:rsidRPr="00AC72AA">
        <w:rPr>
          <w:rFonts w:ascii="Candara" w:hAnsi="Candara"/>
        </w:rPr>
        <w:t>eligious and denominational bodies (e</w:t>
      </w:r>
      <w:r>
        <w:rPr>
          <w:rFonts w:ascii="Candara" w:hAnsi="Candara"/>
        </w:rPr>
        <w:t>.</w:t>
      </w:r>
      <w:r w:rsidRPr="00AC72AA">
        <w:rPr>
          <w:rFonts w:ascii="Candara" w:hAnsi="Candara"/>
        </w:rPr>
        <w:t>g</w:t>
      </w:r>
      <w:r>
        <w:rPr>
          <w:rFonts w:ascii="Candara" w:hAnsi="Candara"/>
        </w:rPr>
        <w:t>.</w:t>
      </w:r>
      <w:r w:rsidR="005C53CC">
        <w:rPr>
          <w:rFonts w:ascii="Candara" w:hAnsi="Candara"/>
        </w:rPr>
        <w:t xml:space="preserve"> the Catholic Church</w:t>
      </w:r>
      <w:r w:rsidRPr="00AC72AA">
        <w:rPr>
          <w:rFonts w:ascii="Candara" w:hAnsi="Candara"/>
        </w:rPr>
        <w:t>) and the thousands of individual congregations, mosques, temples and faith communities engaged in overseas mission and ministry, who are already tax exempt, and are not required to file financial state</w:t>
      </w:r>
      <w:r>
        <w:rPr>
          <w:rFonts w:ascii="Candara" w:hAnsi="Candara"/>
        </w:rPr>
        <w:t xml:space="preserve">ments with the government. </w:t>
      </w:r>
    </w:p>
    <w:p w14:paraId="2E6EA3BF" w14:textId="77777777" w:rsidR="005F3386" w:rsidRDefault="005F3386" w:rsidP="005F3386">
      <w:pPr>
        <w:spacing w:after="0" w:line="240" w:lineRule="auto"/>
        <w:contextualSpacing/>
        <w:rPr>
          <w:rFonts w:ascii="Candara" w:hAnsi="Candara"/>
        </w:rPr>
      </w:pPr>
    </w:p>
    <w:p w14:paraId="658CB578" w14:textId="77777777" w:rsidR="00736068" w:rsidRPr="00736068" w:rsidRDefault="00736068" w:rsidP="005F3386">
      <w:pPr>
        <w:spacing w:after="0" w:line="240" w:lineRule="auto"/>
        <w:contextualSpacing/>
        <w:rPr>
          <w:rFonts w:ascii="Candara" w:hAnsi="Candara"/>
          <w:i/>
        </w:rPr>
      </w:pPr>
      <w:r w:rsidRPr="00736068">
        <w:rPr>
          <w:rFonts w:ascii="Candara" w:hAnsi="Candara"/>
          <w:i/>
        </w:rPr>
        <w:t>SEE OVERLEAF FOR CHART, AND TRENDS 2011-2015</w:t>
      </w:r>
    </w:p>
    <w:p w14:paraId="621AA9B0" w14:textId="77777777" w:rsidR="005F3386" w:rsidRDefault="005F3386" w:rsidP="005F3386">
      <w:pPr>
        <w:spacing w:after="0" w:line="240" w:lineRule="auto"/>
        <w:contextualSpacing/>
        <w:rPr>
          <w:rFonts w:ascii="Candara" w:hAnsi="Candara"/>
        </w:rPr>
      </w:pPr>
    </w:p>
    <w:p w14:paraId="33ECB0C3" w14:textId="77777777" w:rsidR="005F3386" w:rsidRPr="005F3386" w:rsidRDefault="005F3386" w:rsidP="005F3386">
      <w:pPr>
        <w:spacing w:after="0" w:line="240" w:lineRule="auto"/>
        <w:contextualSpacing/>
        <w:rPr>
          <w:rFonts w:ascii="Candara" w:hAnsi="Candara"/>
          <w:b/>
        </w:rPr>
      </w:pPr>
      <w:r w:rsidRPr="005F3386">
        <w:rPr>
          <w:rFonts w:ascii="Candara" w:hAnsi="Candara"/>
          <w:b/>
        </w:rPr>
        <w:t xml:space="preserve">More information: </w:t>
      </w:r>
      <w:hyperlink r:id="rId8" w:history="1">
        <w:r w:rsidRPr="005F3386">
          <w:rPr>
            <w:rStyle w:val="Hyperlink"/>
            <w:rFonts w:ascii="Candara" w:hAnsi="Candara"/>
            <w:b/>
          </w:rPr>
          <w:t>http://www.faithforcommongood.org/work.html</w:t>
        </w:r>
      </w:hyperlink>
    </w:p>
    <w:p w14:paraId="1A45EAEE" w14:textId="77777777" w:rsidR="005F3386" w:rsidRPr="005F3386" w:rsidRDefault="005F3386" w:rsidP="005F3386">
      <w:pPr>
        <w:spacing w:after="0" w:line="240" w:lineRule="auto"/>
        <w:contextualSpacing/>
        <w:rPr>
          <w:rFonts w:ascii="Candara" w:hAnsi="Candara"/>
          <w:b/>
        </w:rPr>
        <w:sectPr w:rsidR="005F3386" w:rsidRPr="005F3386">
          <w:footerReference w:type="default" r:id="rId9"/>
          <w:headerReference w:type="first" r:id="rId10"/>
          <w:footerReference w:type="first" r:id="rId11"/>
          <w:pgSz w:w="12240" w:h="15840"/>
          <w:pgMar w:top="1440" w:right="1440" w:bottom="1440" w:left="1440" w:header="720" w:footer="720" w:gutter="0"/>
          <w:cols w:space="720"/>
          <w:docGrid w:linePitch="360"/>
        </w:sectPr>
      </w:pPr>
      <w:r w:rsidRPr="005F3386">
        <w:rPr>
          <w:rFonts w:ascii="Candara" w:hAnsi="Candara"/>
          <w:b/>
        </w:rPr>
        <w:t xml:space="preserve">Contact: </w:t>
      </w:r>
      <w:r w:rsidRPr="00736068">
        <w:rPr>
          <w:rFonts w:ascii="Candara" w:hAnsi="Candara"/>
        </w:rPr>
        <w:t>Jean Duff,</w:t>
      </w:r>
      <w:r w:rsidRPr="005F3386">
        <w:rPr>
          <w:rFonts w:ascii="Candara" w:hAnsi="Candara"/>
          <w:b/>
        </w:rPr>
        <w:t xml:space="preserve"> Center for Faith and the Common </w:t>
      </w:r>
      <w:proofErr w:type="gramStart"/>
      <w:r w:rsidRPr="005F3386">
        <w:rPr>
          <w:rFonts w:ascii="Candara" w:hAnsi="Candara"/>
          <w:b/>
        </w:rPr>
        <w:t>Good</w:t>
      </w:r>
      <w:r w:rsidR="00736068">
        <w:rPr>
          <w:rFonts w:ascii="Candara" w:hAnsi="Candara"/>
          <w:b/>
        </w:rPr>
        <w:t xml:space="preserve"> </w:t>
      </w:r>
      <w:r w:rsidR="00736068" w:rsidRPr="00736068">
        <w:rPr>
          <w:rFonts w:ascii="Candara" w:hAnsi="Candara"/>
        </w:rPr>
        <w:t xml:space="preserve"> jeanduff@pfaithdev.org</w:t>
      </w:r>
      <w:proofErr w:type="gramEnd"/>
    </w:p>
    <w:tbl>
      <w:tblPr>
        <w:tblStyle w:val="TableGrid"/>
        <w:tblW w:w="13836" w:type="dxa"/>
        <w:jc w:val="center"/>
        <w:shd w:val="clear" w:color="auto" w:fill="FBE4D5" w:themeFill="accent2" w:themeFillTint="33"/>
        <w:tblCellMar>
          <w:top w:w="115" w:type="dxa"/>
          <w:left w:w="115" w:type="dxa"/>
          <w:bottom w:w="115" w:type="dxa"/>
          <w:right w:w="115" w:type="dxa"/>
        </w:tblCellMar>
        <w:tblLook w:val="04A0" w:firstRow="1" w:lastRow="0" w:firstColumn="1" w:lastColumn="0" w:noHBand="0" w:noVBand="1"/>
      </w:tblPr>
      <w:tblGrid>
        <w:gridCol w:w="13836"/>
      </w:tblGrid>
      <w:tr w:rsidR="003D4DA5" w:rsidRPr="00AC72AA" w14:paraId="538DE8B9" w14:textId="77777777" w:rsidTr="00CA5655">
        <w:trPr>
          <w:jc w:val="center"/>
        </w:trPr>
        <w:tc>
          <w:tcPr>
            <w:tcW w:w="13836" w:type="dxa"/>
            <w:shd w:val="clear" w:color="auto" w:fill="FBE4D5" w:themeFill="accent2" w:themeFillTint="33"/>
          </w:tcPr>
          <w:p w14:paraId="075267E2" w14:textId="77777777" w:rsidR="003D4DA5" w:rsidRPr="00AC72AA" w:rsidRDefault="003D4DA5" w:rsidP="00CA5655">
            <w:pPr>
              <w:jc w:val="center"/>
              <w:rPr>
                <w:rFonts w:ascii="Candara" w:hAnsi="Candara"/>
                <w:u w:val="single"/>
              </w:rPr>
            </w:pPr>
            <w:r w:rsidRPr="00AC72AA">
              <w:rPr>
                <w:rFonts w:ascii="Candara" w:hAnsi="Candara"/>
                <w:b/>
                <w:sz w:val="24"/>
                <w:u w:val="single"/>
              </w:rPr>
              <w:lastRenderedPageBreak/>
              <w:t xml:space="preserve">Private Sources Outpace Decline </w:t>
            </w:r>
            <w:r>
              <w:rPr>
                <w:rFonts w:ascii="Candara" w:hAnsi="Candara"/>
                <w:b/>
                <w:sz w:val="24"/>
                <w:u w:val="single"/>
              </w:rPr>
              <w:t>in Public Funding (FY2011-FY2015</w:t>
            </w:r>
            <w:r w:rsidRPr="00AC72AA">
              <w:rPr>
                <w:rFonts w:ascii="Candara" w:hAnsi="Candara"/>
                <w:b/>
                <w:sz w:val="24"/>
                <w:u w:val="single"/>
              </w:rPr>
              <w:t>)</w:t>
            </w:r>
          </w:p>
          <w:p w14:paraId="7F67FE26" w14:textId="77777777" w:rsidR="003D4DA5" w:rsidRPr="00AC72AA" w:rsidRDefault="003D4DA5" w:rsidP="00CA5655">
            <w:pPr>
              <w:jc w:val="center"/>
              <w:rPr>
                <w:rFonts w:ascii="Candara" w:hAnsi="Candara"/>
                <w:b/>
              </w:rPr>
            </w:pPr>
            <w:r>
              <w:rPr>
                <w:rFonts w:ascii="Candara" w:hAnsi="Candara"/>
              </w:rPr>
              <w:t>As shown in Figure 1 below, the 13</w:t>
            </w:r>
            <w:r w:rsidRPr="00AC72AA">
              <w:rPr>
                <w:rFonts w:ascii="Candara" w:hAnsi="Candara"/>
              </w:rPr>
              <w:t>% increase in total revenue from FY2011 to FY201</w:t>
            </w:r>
            <w:r>
              <w:rPr>
                <w:rFonts w:ascii="Candara" w:hAnsi="Candara"/>
              </w:rPr>
              <w:t>5</w:t>
            </w:r>
            <w:r w:rsidRPr="00AC72AA">
              <w:rPr>
                <w:rFonts w:ascii="Candara" w:hAnsi="Candara"/>
              </w:rPr>
              <w:t xml:space="preserve"> is due to private, non-government sources of revenue outpacing the decline in USG public funding, which experienced a 1</w:t>
            </w:r>
            <w:r>
              <w:rPr>
                <w:rFonts w:ascii="Candara" w:hAnsi="Candara"/>
              </w:rPr>
              <w:t>2</w:t>
            </w:r>
            <w:r w:rsidRPr="00AC72AA">
              <w:rPr>
                <w:rFonts w:ascii="Candara" w:hAnsi="Candara"/>
              </w:rPr>
              <w:t>% decrease</w:t>
            </w:r>
            <w:r>
              <w:rPr>
                <w:rFonts w:ascii="Candara" w:hAnsi="Candara"/>
              </w:rPr>
              <w:t xml:space="preserve"> in the same time period. A substantial portion of the</w:t>
            </w:r>
            <w:r w:rsidRPr="00AC72AA">
              <w:rPr>
                <w:rFonts w:ascii="Candara" w:hAnsi="Candara"/>
              </w:rPr>
              <w:t xml:space="preserve"> increase in</w:t>
            </w:r>
            <w:r>
              <w:rPr>
                <w:rFonts w:ascii="Candara" w:hAnsi="Candara"/>
              </w:rPr>
              <w:t xml:space="preserve"> total revenue from FY2011-FY2015 </w:t>
            </w:r>
            <w:r w:rsidRPr="00AC72AA">
              <w:rPr>
                <w:rFonts w:ascii="Candara" w:hAnsi="Candara"/>
              </w:rPr>
              <w:t xml:space="preserve">is due to a spike in private contributions to revenue </w:t>
            </w:r>
            <w:r>
              <w:rPr>
                <w:rFonts w:ascii="Candara" w:hAnsi="Candara"/>
              </w:rPr>
              <w:t>between FY2013 and FY2015</w:t>
            </w:r>
            <w:r w:rsidRPr="00AC72AA">
              <w:rPr>
                <w:rFonts w:ascii="Candara" w:hAnsi="Candara"/>
              </w:rPr>
              <w:t>.</w:t>
            </w:r>
          </w:p>
        </w:tc>
      </w:tr>
    </w:tbl>
    <w:p w14:paraId="0625D0DC" w14:textId="77777777" w:rsidR="003D4DA5" w:rsidRDefault="003D4DA5" w:rsidP="003D4DA5">
      <w:pPr>
        <w:keepNext/>
        <w:ind w:left="270"/>
        <w:jc w:val="center"/>
      </w:pPr>
      <w:r>
        <w:rPr>
          <w:noProof/>
        </w:rPr>
        <w:drawing>
          <wp:inline distT="0" distB="0" distL="0" distR="0" wp14:anchorId="37D5C615" wp14:editId="1F1CF27E">
            <wp:extent cx="7685448" cy="3220034"/>
            <wp:effectExtent l="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73CA3E9E" w14:textId="77777777" w:rsidR="003D4DA5" w:rsidRDefault="003D4DA5" w:rsidP="003D4DA5">
      <w:pPr>
        <w:pStyle w:val="Caption"/>
        <w:spacing w:after="0"/>
        <w:ind w:left="270"/>
        <w:contextualSpacing/>
      </w:pPr>
      <w:r>
        <w:t xml:space="preserve">Figure </w:t>
      </w:r>
      <w:fldSimple w:instr=" SEQ Figure \* ARABIC ">
        <w:r>
          <w:rPr>
            <w:noProof/>
          </w:rPr>
          <w:t>1</w:t>
        </w:r>
      </w:fldSimple>
      <w:r>
        <w:t xml:space="preserve">: </w:t>
      </w:r>
      <w:r w:rsidRPr="00777A84">
        <w:t>The increase in tot</w:t>
      </w:r>
      <w:r>
        <w:t>al revenue from FY2011 to FY2015</w:t>
      </w:r>
      <w:r w:rsidRPr="00777A84">
        <w:t xml:space="preserve"> is due to increases in private, non-governmental sources of revenue, despite the overall decline of contributions of USG public funding to revenue. In a particular, a spike in private</w:t>
      </w:r>
      <w:r>
        <w:t xml:space="preserve"> funding</w:t>
      </w:r>
      <w:r w:rsidRPr="00777A84">
        <w:t xml:space="preserve"> </w:t>
      </w:r>
      <w:r>
        <w:t>from FY2013 to FY2014, amidst a slight increase in US public funding, substantially bolstered the total revenue in FY2014 and FY2015. Both axes (total revenue and USG revenue) are scaled to units of 50 million dollars between intervals.</w:t>
      </w:r>
    </w:p>
    <w:p w14:paraId="30D1242B" w14:textId="77777777" w:rsidR="003D4DA5" w:rsidRDefault="003D4DA5" w:rsidP="003D4DA5">
      <w:pPr>
        <w:pStyle w:val="Caption"/>
        <w:spacing w:after="0"/>
        <w:contextualSpacing/>
      </w:pPr>
    </w:p>
    <w:p w14:paraId="62654755" w14:textId="77777777" w:rsidR="003D4DA5" w:rsidRPr="003D4DA5" w:rsidRDefault="003D4DA5" w:rsidP="003D4DA5">
      <w:pPr>
        <w:pStyle w:val="Caption"/>
        <w:spacing w:after="0"/>
        <w:contextualSpacing/>
        <w:jc w:val="center"/>
        <w:rPr>
          <w:rFonts w:ascii="Candara" w:hAnsi="Candara"/>
          <w:b/>
          <w:sz w:val="24"/>
          <w:szCs w:val="24"/>
        </w:rPr>
      </w:pPr>
      <w:r>
        <w:t>Table 2: USG, Private, and Total Revenues, and pe</w:t>
      </w:r>
      <w:r w:rsidR="008219D5">
        <w:t>rcent change, from FY2011-FY2011</w:t>
      </w:r>
    </w:p>
    <w:tbl>
      <w:tblPr>
        <w:tblStyle w:val="TableGrid"/>
        <w:tblpPr w:leftFromText="180" w:rightFromText="180" w:vertAnchor="text" w:horzAnchor="margin" w:tblpY="-43"/>
        <w:tblW w:w="0" w:type="auto"/>
        <w:tblLayout w:type="fixed"/>
        <w:tblLook w:val="04A0" w:firstRow="1" w:lastRow="0" w:firstColumn="1" w:lastColumn="0" w:noHBand="0" w:noVBand="1"/>
      </w:tblPr>
      <w:tblGrid>
        <w:gridCol w:w="1278"/>
        <w:gridCol w:w="2070"/>
        <w:gridCol w:w="1980"/>
        <w:gridCol w:w="1710"/>
        <w:gridCol w:w="1890"/>
        <w:gridCol w:w="1980"/>
        <w:gridCol w:w="1980"/>
      </w:tblGrid>
      <w:tr w:rsidR="003D4DA5" w:rsidRPr="008D6C1F" w14:paraId="07DE33EA" w14:textId="77777777" w:rsidTr="00CA5655">
        <w:trPr>
          <w:trHeight w:val="20"/>
        </w:trPr>
        <w:tc>
          <w:tcPr>
            <w:tcW w:w="1278" w:type="dxa"/>
            <w:tcBorders>
              <w:top w:val="nil"/>
              <w:left w:val="nil"/>
            </w:tcBorders>
          </w:tcPr>
          <w:p w14:paraId="626E6D2E" w14:textId="77777777" w:rsidR="003D4DA5" w:rsidRDefault="003D4DA5" w:rsidP="00CA5655">
            <w:pPr>
              <w:contextualSpacing/>
              <w:jc w:val="center"/>
              <w:rPr>
                <w:rFonts w:ascii="Candara" w:hAnsi="Candara"/>
              </w:rPr>
            </w:pPr>
            <w:r>
              <w:rPr>
                <w:rFonts w:ascii="Candara" w:hAnsi="Candara"/>
              </w:rPr>
              <w:t>Revenue Source</w:t>
            </w:r>
          </w:p>
        </w:tc>
        <w:tc>
          <w:tcPr>
            <w:tcW w:w="2070" w:type="dxa"/>
            <w:shd w:val="clear" w:color="auto" w:fill="ED7D31" w:themeFill="accent2"/>
            <w:vAlign w:val="center"/>
          </w:tcPr>
          <w:p w14:paraId="415F6DBB" w14:textId="77777777" w:rsidR="003D4DA5" w:rsidRPr="00586F1A" w:rsidRDefault="003D4DA5" w:rsidP="00CA5655">
            <w:pPr>
              <w:contextualSpacing/>
              <w:jc w:val="center"/>
              <w:rPr>
                <w:rFonts w:ascii="Candara" w:hAnsi="Candara"/>
                <w:b/>
                <w:color w:val="FFFFFF" w:themeColor="background1"/>
              </w:rPr>
            </w:pPr>
            <w:r w:rsidRPr="00586F1A">
              <w:rPr>
                <w:rFonts w:ascii="Candara" w:hAnsi="Candara"/>
                <w:b/>
                <w:color w:val="FFFFFF" w:themeColor="background1"/>
              </w:rPr>
              <w:t>FY2011</w:t>
            </w:r>
          </w:p>
        </w:tc>
        <w:tc>
          <w:tcPr>
            <w:tcW w:w="1980" w:type="dxa"/>
            <w:shd w:val="clear" w:color="auto" w:fill="ED7D31" w:themeFill="accent2"/>
            <w:vAlign w:val="center"/>
          </w:tcPr>
          <w:p w14:paraId="0501679E" w14:textId="77777777" w:rsidR="003D4DA5" w:rsidRPr="00586F1A" w:rsidRDefault="003D4DA5" w:rsidP="00CA5655">
            <w:pPr>
              <w:contextualSpacing/>
              <w:jc w:val="center"/>
              <w:rPr>
                <w:rFonts w:ascii="Candara" w:hAnsi="Candara"/>
                <w:b/>
                <w:color w:val="FFFFFF" w:themeColor="background1"/>
              </w:rPr>
            </w:pPr>
            <w:r w:rsidRPr="00586F1A">
              <w:rPr>
                <w:rFonts w:ascii="Candara" w:hAnsi="Candara"/>
                <w:b/>
                <w:color w:val="FFFFFF" w:themeColor="background1"/>
              </w:rPr>
              <w:t>FY2012</w:t>
            </w:r>
          </w:p>
        </w:tc>
        <w:tc>
          <w:tcPr>
            <w:tcW w:w="1710" w:type="dxa"/>
            <w:shd w:val="clear" w:color="auto" w:fill="ED7D31" w:themeFill="accent2"/>
            <w:vAlign w:val="center"/>
          </w:tcPr>
          <w:p w14:paraId="21F0D338" w14:textId="77777777" w:rsidR="003D4DA5" w:rsidRPr="00586F1A" w:rsidRDefault="003D4DA5" w:rsidP="00CA5655">
            <w:pPr>
              <w:contextualSpacing/>
              <w:jc w:val="center"/>
              <w:rPr>
                <w:rFonts w:ascii="Candara" w:hAnsi="Candara"/>
                <w:b/>
                <w:color w:val="FFFFFF" w:themeColor="background1"/>
              </w:rPr>
            </w:pPr>
            <w:r w:rsidRPr="00586F1A">
              <w:rPr>
                <w:rFonts w:ascii="Candara" w:hAnsi="Candara"/>
                <w:b/>
                <w:color w:val="FFFFFF" w:themeColor="background1"/>
              </w:rPr>
              <w:t>FY2013</w:t>
            </w:r>
          </w:p>
        </w:tc>
        <w:tc>
          <w:tcPr>
            <w:tcW w:w="1890" w:type="dxa"/>
            <w:shd w:val="clear" w:color="auto" w:fill="ED7D31" w:themeFill="accent2"/>
            <w:vAlign w:val="center"/>
          </w:tcPr>
          <w:p w14:paraId="2EE3D560" w14:textId="77777777" w:rsidR="003D4DA5" w:rsidRPr="00002C3C" w:rsidRDefault="003D4DA5" w:rsidP="00CA5655">
            <w:pPr>
              <w:contextualSpacing/>
              <w:jc w:val="center"/>
              <w:rPr>
                <w:rFonts w:ascii="Candara" w:hAnsi="Candara"/>
                <w:b/>
                <w:color w:val="FF0000"/>
              </w:rPr>
            </w:pPr>
            <w:r w:rsidRPr="008E4864">
              <w:rPr>
                <w:rFonts w:ascii="Candara" w:hAnsi="Candara"/>
                <w:b/>
                <w:color w:val="FFFFFF" w:themeColor="background1"/>
              </w:rPr>
              <w:t>FY2014</w:t>
            </w:r>
          </w:p>
        </w:tc>
        <w:tc>
          <w:tcPr>
            <w:tcW w:w="1980" w:type="dxa"/>
            <w:shd w:val="clear" w:color="auto" w:fill="ED7D31" w:themeFill="accent2"/>
          </w:tcPr>
          <w:p w14:paraId="757D8908" w14:textId="77777777" w:rsidR="003D4DA5" w:rsidRDefault="003D4DA5" w:rsidP="00CA5655">
            <w:pPr>
              <w:contextualSpacing/>
              <w:jc w:val="center"/>
              <w:rPr>
                <w:rFonts w:ascii="Candara" w:hAnsi="Candara"/>
                <w:b/>
                <w:color w:val="FFFFFF" w:themeColor="background1"/>
              </w:rPr>
            </w:pPr>
          </w:p>
          <w:p w14:paraId="6BFEEAD8" w14:textId="77777777" w:rsidR="003D4DA5" w:rsidRPr="00586F1A" w:rsidRDefault="003D4DA5" w:rsidP="00CA5655">
            <w:pPr>
              <w:contextualSpacing/>
              <w:jc w:val="center"/>
              <w:rPr>
                <w:rFonts w:ascii="Candara" w:hAnsi="Candara"/>
                <w:b/>
                <w:color w:val="FFFFFF" w:themeColor="background1"/>
              </w:rPr>
            </w:pPr>
            <w:r>
              <w:rPr>
                <w:rFonts w:ascii="Candara" w:hAnsi="Candara"/>
                <w:b/>
                <w:color w:val="FFFFFF" w:themeColor="background1"/>
              </w:rPr>
              <w:t>FY2015</w:t>
            </w:r>
          </w:p>
        </w:tc>
        <w:tc>
          <w:tcPr>
            <w:tcW w:w="1980" w:type="dxa"/>
            <w:shd w:val="clear" w:color="auto" w:fill="ED7D31" w:themeFill="accent2"/>
          </w:tcPr>
          <w:p w14:paraId="2D8452E3" w14:textId="77777777" w:rsidR="003D4DA5" w:rsidRPr="00586F1A" w:rsidRDefault="003D4DA5" w:rsidP="00CA5655">
            <w:pPr>
              <w:contextualSpacing/>
              <w:jc w:val="center"/>
              <w:rPr>
                <w:rFonts w:ascii="Candara" w:hAnsi="Candara"/>
                <w:b/>
                <w:color w:val="FFFFFF" w:themeColor="background1"/>
              </w:rPr>
            </w:pPr>
            <w:r w:rsidRPr="00586F1A">
              <w:rPr>
                <w:rFonts w:ascii="Candara" w:hAnsi="Candara"/>
                <w:b/>
                <w:color w:val="FFFFFF" w:themeColor="background1"/>
              </w:rPr>
              <w:t>% Change</w:t>
            </w:r>
          </w:p>
          <w:p w14:paraId="486C9007" w14:textId="77777777" w:rsidR="003D4DA5" w:rsidRPr="00586F1A" w:rsidRDefault="003D4DA5" w:rsidP="00CA5655">
            <w:pPr>
              <w:contextualSpacing/>
              <w:jc w:val="center"/>
              <w:rPr>
                <w:rFonts w:ascii="Candara" w:hAnsi="Candara"/>
                <w:b/>
                <w:color w:val="FFFFFF" w:themeColor="background1"/>
              </w:rPr>
            </w:pPr>
            <w:r>
              <w:rPr>
                <w:rFonts w:ascii="Candara" w:hAnsi="Candara"/>
                <w:b/>
                <w:color w:val="FFFFFF" w:themeColor="background1"/>
                <w:sz w:val="16"/>
              </w:rPr>
              <w:t>(FY2011 – FY2015</w:t>
            </w:r>
            <w:r w:rsidRPr="00586F1A">
              <w:rPr>
                <w:rFonts w:ascii="Candara" w:hAnsi="Candara"/>
                <w:b/>
                <w:color w:val="FFFFFF" w:themeColor="background1"/>
                <w:sz w:val="16"/>
              </w:rPr>
              <w:t>)</w:t>
            </w:r>
          </w:p>
        </w:tc>
      </w:tr>
      <w:tr w:rsidR="003D4DA5" w:rsidRPr="008D6C1F" w14:paraId="00C608CF" w14:textId="77777777" w:rsidTr="00CA5655">
        <w:trPr>
          <w:trHeight w:val="20"/>
        </w:trPr>
        <w:tc>
          <w:tcPr>
            <w:tcW w:w="1278" w:type="dxa"/>
            <w:shd w:val="clear" w:color="auto" w:fill="FBE4D5" w:themeFill="accent2" w:themeFillTint="33"/>
          </w:tcPr>
          <w:p w14:paraId="727A438A" w14:textId="77777777" w:rsidR="003D4DA5" w:rsidRPr="00586F1A" w:rsidRDefault="003D4DA5" w:rsidP="00CA5655">
            <w:pPr>
              <w:jc w:val="center"/>
              <w:rPr>
                <w:rFonts w:ascii="Candara" w:hAnsi="Candara"/>
                <w:b/>
              </w:rPr>
            </w:pPr>
            <w:r w:rsidRPr="00586F1A">
              <w:rPr>
                <w:rFonts w:ascii="Candara" w:hAnsi="Candara"/>
                <w:b/>
              </w:rPr>
              <w:t>USG</w:t>
            </w:r>
          </w:p>
        </w:tc>
        <w:tc>
          <w:tcPr>
            <w:tcW w:w="2070" w:type="dxa"/>
            <w:shd w:val="clear" w:color="auto" w:fill="FBE4D5" w:themeFill="accent2" w:themeFillTint="33"/>
            <w:vAlign w:val="center"/>
          </w:tcPr>
          <w:p w14:paraId="577DF36D" w14:textId="77777777" w:rsidR="003D4DA5" w:rsidRPr="008D6C1F" w:rsidRDefault="003D4DA5" w:rsidP="00CA5655">
            <w:pPr>
              <w:jc w:val="center"/>
              <w:rPr>
                <w:rFonts w:ascii="Candara" w:hAnsi="Candara"/>
              </w:rPr>
            </w:pPr>
            <w:r>
              <w:rPr>
                <w:rFonts w:ascii="Candara" w:hAnsi="Candara"/>
              </w:rPr>
              <w:t>$</w:t>
            </w:r>
            <w:r w:rsidRPr="008D6C1F">
              <w:rPr>
                <w:rFonts w:ascii="Candara" w:hAnsi="Candara"/>
              </w:rPr>
              <w:t>940,743,521</w:t>
            </w:r>
          </w:p>
        </w:tc>
        <w:tc>
          <w:tcPr>
            <w:tcW w:w="1980" w:type="dxa"/>
            <w:shd w:val="clear" w:color="auto" w:fill="FBE4D5" w:themeFill="accent2" w:themeFillTint="33"/>
            <w:vAlign w:val="center"/>
          </w:tcPr>
          <w:p w14:paraId="15F084D3" w14:textId="77777777" w:rsidR="003D4DA5" w:rsidRPr="008D6C1F" w:rsidRDefault="003D4DA5" w:rsidP="00CA5655">
            <w:pPr>
              <w:jc w:val="center"/>
              <w:rPr>
                <w:rFonts w:ascii="Candara" w:hAnsi="Candara"/>
              </w:rPr>
            </w:pPr>
            <w:r>
              <w:rPr>
                <w:rFonts w:ascii="Candara" w:hAnsi="Candara"/>
              </w:rPr>
              <w:t>$</w:t>
            </w:r>
            <w:r w:rsidRPr="008D6C1F">
              <w:rPr>
                <w:rFonts w:ascii="Candara" w:hAnsi="Candara"/>
              </w:rPr>
              <w:t>860,317,908</w:t>
            </w:r>
          </w:p>
        </w:tc>
        <w:tc>
          <w:tcPr>
            <w:tcW w:w="1710" w:type="dxa"/>
            <w:shd w:val="clear" w:color="auto" w:fill="FBE4D5" w:themeFill="accent2" w:themeFillTint="33"/>
            <w:vAlign w:val="center"/>
          </w:tcPr>
          <w:p w14:paraId="47245F87" w14:textId="77777777" w:rsidR="003D4DA5" w:rsidRPr="008D6C1F" w:rsidRDefault="003D4DA5" w:rsidP="00CA5655">
            <w:pPr>
              <w:jc w:val="center"/>
              <w:rPr>
                <w:rFonts w:ascii="Candara" w:hAnsi="Candara"/>
              </w:rPr>
            </w:pPr>
            <w:r>
              <w:rPr>
                <w:rFonts w:ascii="Candara" w:hAnsi="Candara"/>
              </w:rPr>
              <w:t>$</w:t>
            </w:r>
            <w:r w:rsidRPr="008D6C1F">
              <w:rPr>
                <w:rFonts w:ascii="Candara" w:hAnsi="Candara"/>
              </w:rPr>
              <w:t>775,249,844</w:t>
            </w:r>
          </w:p>
        </w:tc>
        <w:tc>
          <w:tcPr>
            <w:tcW w:w="1890" w:type="dxa"/>
            <w:shd w:val="clear" w:color="auto" w:fill="FBE4D5" w:themeFill="accent2" w:themeFillTint="33"/>
            <w:vAlign w:val="center"/>
          </w:tcPr>
          <w:p w14:paraId="5971A5D1" w14:textId="77777777" w:rsidR="003D4DA5" w:rsidRPr="008E4864" w:rsidRDefault="003D4DA5" w:rsidP="00CA5655">
            <w:pPr>
              <w:jc w:val="center"/>
              <w:rPr>
                <w:rFonts w:ascii="Candara" w:hAnsi="Candara"/>
              </w:rPr>
            </w:pPr>
            <w:r w:rsidRPr="008E4864">
              <w:rPr>
                <w:rFonts w:ascii="Candara" w:hAnsi="Candara"/>
              </w:rPr>
              <w:t>$763,300,600</w:t>
            </w:r>
          </w:p>
        </w:tc>
        <w:tc>
          <w:tcPr>
            <w:tcW w:w="1980" w:type="dxa"/>
            <w:shd w:val="clear" w:color="auto" w:fill="FBE4D5" w:themeFill="accent2" w:themeFillTint="33"/>
            <w:vAlign w:val="center"/>
          </w:tcPr>
          <w:p w14:paraId="77F332B7" w14:textId="77777777" w:rsidR="003D4DA5" w:rsidRPr="008E4864" w:rsidRDefault="003D4DA5" w:rsidP="00CA5655">
            <w:pPr>
              <w:jc w:val="center"/>
              <w:rPr>
                <w:rFonts w:ascii="Candara" w:hAnsi="Candara"/>
              </w:rPr>
            </w:pPr>
            <w:r w:rsidRPr="008E4864">
              <w:rPr>
                <w:rFonts w:ascii="Candara" w:hAnsi="Candara"/>
              </w:rPr>
              <w:t>$827,020,364</w:t>
            </w:r>
          </w:p>
        </w:tc>
        <w:tc>
          <w:tcPr>
            <w:tcW w:w="1980" w:type="dxa"/>
            <w:shd w:val="clear" w:color="auto" w:fill="FBE4D5" w:themeFill="accent2" w:themeFillTint="33"/>
            <w:vAlign w:val="center"/>
          </w:tcPr>
          <w:p w14:paraId="47ED96FB" w14:textId="77777777" w:rsidR="003D4DA5" w:rsidRPr="00586F1A" w:rsidRDefault="003D4DA5" w:rsidP="00CA5655">
            <w:pPr>
              <w:jc w:val="center"/>
              <w:rPr>
                <w:rFonts w:ascii="Candara" w:hAnsi="Candara"/>
                <w:b/>
              </w:rPr>
            </w:pPr>
            <w:r>
              <w:rPr>
                <w:rFonts w:ascii="Candara" w:hAnsi="Candara"/>
                <w:b/>
              </w:rPr>
              <w:t>-12</w:t>
            </w:r>
            <w:r w:rsidRPr="00586F1A">
              <w:rPr>
                <w:rFonts w:ascii="Candara" w:hAnsi="Candara"/>
                <w:b/>
              </w:rPr>
              <w:t>%</w:t>
            </w:r>
          </w:p>
        </w:tc>
      </w:tr>
      <w:tr w:rsidR="003D4DA5" w:rsidRPr="008D6C1F" w14:paraId="2D8E4E67" w14:textId="77777777" w:rsidTr="00CA5655">
        <w:trPr>
          <w:trHeight w:val="20"/>
        </w:trPr>
        <w:tc>
          <w:tcPr>
            <w:tcW w:w="1278" w:type="dxa"/>
            <w:vAlign w:val="center"/>
          </w:tcPr>
          <w:p w14:paraId="484C96B6" w14:textId="77777777" w:rsidR="003D4DA5" w:rsidRPr="00586F1A" w:rsidRDefault="003D4DA5" w:rsidP="00CA5655">
            <w:pPr>
              <w:jc w:val="center"/>
              <w:rPr>
                <w:rFonts w:ascii="Candara" w:hAnsi="Candara"/>
                <w:b/>
              </w:rPr>
            </w:pPr>
            <w:r w:rsidRPr="00586F1A">
              <w:rPr>
                <w:rFonts w:ascii="Candara" w:hAnsi="Candara"/>
                <w:b/>
              </w:rPr>
              <w:t>Private</w:t>
            </w:r>
          </w:p>
        </w:tc>
        <w:tc>
          <w:tcPr>
            <w:tcW w:w="2070" w:type="dxa"/>
            <w:vAlign w:val="center"/>
          </w:tcPr>
          <w:p w14:paraId="3D3E8FB9" w14:textId="77777777" w:rsidR="003D4DA5" w:rsidRPr="008D6C1F" w:rsidRDefault="003D4DA5" w:rsidP="00CA5655">
            <w:pPr>
              <w:jc w:val="center"/>
              <w:rPr>
                <w:rFonts w:ascii="Candara" w:hAnsi="Candara"/>
              </w:rPr>
            </w:pPr>
            <w:r>
              <w:rPr>
                <w:rFonts w:ascii="Candara" w:hAnsi="Candara"/>
              </w:rPr>
              <w:t>$</w:t>
            </w:r>
            <w:r w:rsidRPr="008D6C1F">
              <w:rPr>
                <w:rFonts w:ascii="Candara" w:hAnsi="Candara"/>
              </w:rPr>
              <w:t>4,904,044,605</w:t>
            </w:r>
          </w:p>
        </w:tc>
        <w:tc>
          <w:tcPr>
            <w:tcW w:w="1980" w:type="dxa"/>
            <w:vAlign w:val="center"/>
          </w:tcPr>
          <w:p w14:paraId="241C75B7" w14:textId="77777777" w:rsidR="003D4DA5" w:rsidRPr="008D6C1F" w:rsidRDefault="003D4DA5" w:rsidP="00CA5655">
            <w:pPr>
              <w:jc w:val="center"/>
              <w:rPr>
                <w:rFonts w:ascii="Candara" w:hAnsi="Candara"/>
              </w:rPr>
            </w:pPr>
            <w:r w:rsidRPr="008D6C1F">
              <w:rPr>
                <w:rFonts w:ascii="Candara" w:hAnsi="Candara"/>
              </w:rPr>
              <w:t>$4,963,673,588</w:t>
            </w:r>
          </w:p>
        </w:tc>
        <w:tc>
          <w:tcPr>
            <w:tcW w:w="1710" w:type="dxa"/>
            <w:vAlign w:val="center"/>
          </w:tcPr>
          <w:p w14:paraId="72DCA839" w14:textId="77777777" w:rsidR="003D4DA5" w:rsidRPr="008D6C1F" w:rsidRDefault="003D4DA5" w:rsidP="00CA5655">
            <w:pPr>
              <w:jc w:val="center"/>
              <w:rPr>
                <w:rFonts w:ascii="Candara" w:hAnsi="Candara"/>
              </w:rPr>
            </w:pPr>
            <w:r>
              <w:rPr>
                <w:rFonts w:ascii="Candara" w:hAnsi="Candara"/>
              </w:rPr>
              <w:t>$</w:t>
            </w:r>
            <w:r w:rsidRPr="008D6C1F">
              <w:rPr>
                <w:rFonts w:ascii="Candara" w:hAnsi="Candara"/>
              </w:rPr>
              <w:t>5,121,816,952</w:t>
            </w:r>
          </w:p>
        </w:tc>
        <w:tc>
          <w:tcPr>
            <w:tcW w:w="1890" w:type="dxa"/>
            <w:vAlign w:val="center"/>
          </w:tcPr>
          <w:p w14:paraId="162E7C22" w14:textId="77777777" w:rsidR="003D4DA5" w:rsidRPr="008E4864" w:rsidRDefault="003D4DA5" w:rsidP="00CA5655">
            <w:pPr>
              <w:jc w:val="center"/>
              <w:rPr>
                <w:rFonts w:ascii="Candara" w:hAnsi="Candara"/>
              </w:rPr>
            </w:pPr>
            <w:r w:rsidRPr="008E4864">
              <w:rPr>
                <w:rFonts w:ascii="Candara" w:hAnsi="Candara"/>
              </w:rPr>
              <w:t>$5,430,550,084</w:t>
            </w:r>
          </w:p>
        </w:tc>
        <w:tc>
          <w:tcPr>
            <w:tcW w:w="1980" w:type="dxa"/>
            <w:vAlign w:val="center"/>
          </w:tcPr>
          <w:p w14:paraId="105CEDB6" w14:textId="77777777" w:rsidR="003D4DA5" w:rsidRPr="008E4864" w:rsidRDefault="003D4DA5" w:rsidP="00CA5655">
            <w:pPr>
              <w:jc w:val="center"/>
              <w:rPr>
                <w:rFonts w:ascii="Candara" w:hAnsi="Candara"/>
              </w:rPr>
            </w:pPr>
            <w:r w:rsidRPr="008E4864">
              <w:rPr>
                <w:rFonts w:ascii="Candara" w:hAnsi="Candara"/>
              </w:rPr>
              <w:t>$5,752,385,904</w:t>
            </w:r>
          </w:p>
        </w:tc>
        <w:tc>
          <w:tcPr>
            <w:tcW w:w="1980" w:type="dxa"/>
            <w:vAlign w:val="center"/>
          </w:tcPr>
          <w:p w14:paraId="58180BEC" w14:textId="77777777" w:rsidR="003D4DA5" w:rsidRPr="00586F1A" w:rsidRDefault="003D4DA5" w:rsidP="00CA5655">
            <w:pPr>
              <w:jc w:val="center"/>
              <w:rPr>
                <w:rFonts w:ascii="Candara" w:hAnsi="Candara"/>
                <w:b/>
              </w:rPr>
            </w:pPr>
            <w:r>
              <w:rPr>
                <w:rFonts w:ascii="Candara" w:hAnsi="Candara"/>
                <w:b/>
              </w:rPr>
              <w:t>+17.3%</w:t>
            </w:r>
          </w:p>
        </w:tc>
      </w:tr>
      <w:tr w:rsidR="003D4DA5" w:rsidRPr="008D6C1F" w14:paraId="1C079296" w14:textId="77777777" w:rsidTr="00CA5655">
        <w:trPr>
          <w:trHeight w:val="20"/>
        </w:trPr>
        <w:tc>
          <w:tcPr>
            <w:tcW w:w="1278" w:type="dxa"/>
            <w:shd w:val="clear" w:color="auto" w:fill="FBE4D5" w:themeFill="accent2" w:themeFillTint="33"/>
          </w:tcPr>
          <w:p w14:paraId="47628DF3" w14:textId="77777777" w:rsidR="003D4DA5" w:rsidRPr="00586F1A" w:rsidRDefault="003D4DA5" w:rsidP="00CA5655">
            <w:pPr>
              <w:jc w:val="center"/>
              <w:rPr>
                <w:rFonts w:ascii="Candara" w:hAnsi="Candara"/>
                <w:b/>
              </w:rPr>
            </w:pPr>
            <w:r w:rsidRPr="00586F1A">
              <w:rPr>
                <w:rFonts w:ascii="Candara" w:hAnsi="Candara"/>
                <w:b/>
              </w:rPr>
              <w:t>Total</w:t>
            </w:r>
          </w:p>
        </w:tc>
        <w:tc>
          <w:tcPr>
            <w:tcW w:w="2070" w:type="dxa"/>
            <w:shd w:val="clear" w:color="auto" w:fill="FBE4D5" w:themeFill="accent2" w:themeFillTint="33"/>
            <w:vAlign w:val="center"/>
          </w:tcPr>
          <w:p w14:paraId="2AEC7686" w14:textId="77777777" w:rsidR="003D4DA5" w:rsidRPr="008D6C1F" w:rsidRDefault="003D4DA5" w:rsidP="00CA5655">
            <w:pPr>
              <w:jc w:val="center"/>
              <w:rPr>
                <w:rFonts w:ascii="Candara" w:hAnsi="Candara"/>
              </w:rPr>
            </w:pPr>
            <w:r w:rsidRPr="008D6C1F">
              <w:rPr>
                <w:rFonts w:ascii="Candara" w:hAnsi="Candara"/>
              </w:rPr>
              <w:t>$5,844,788,126</w:t>
            </w:r>
          </w:p>
        </w:tc>
        <w:tc>
          <w:tcPr>
            <w:tcW w:w="1980" w:type="dxa"/>
            <w:shd w:val="clear" w:color="auto" w:fill="FBE4D5" w:themeFill="accent2" w:themeFillTint="33"/>
            <w:vAlign w:val="center"/>
          </w:tcPr>
          <w:p w14:paraId="4C8BC4F3" w14:textId="77777777" w:rsidR="003D4DA5" w:rsidRPr="008D6C1F" w:rsidRDefault="003D4DA5" w:rsidP="00CA5655">
            <w:pPr>
              <w:jc w:val="center"/>
              <w:rPr>
                <w:rFonts w:ascii="Candara" w:hAnsi="Candara"/>
              </w:rPr>
            </w:pPr>
            <w:r w:rsidRPr="008D6C1F">
              <w:rPr>
                <w:rFonts w:ascii="Candara" w:hAnsi="Candara"/>
              </w:rPr>
              <w:t>$5,823,991,496</w:t>
            </w:r>
          </w:p>
        </w:tc>
        <w:tc>
          <w:tcPr>
            <w:tcW w:w="1710" w:type="dxa"/>
            <w:shd w:val="clear" w:color="auto" w:fill="FBE4D5" w:themeFill="accent2" w:themeFillTint="33"/>
            <w:vAlign w:val="center"/>
          </w:tcPr>
          <w:p w14:paraId="290F890D" w14:textId="77777777" w:rsidR="003D4DA5" w:rsidRPr="008D6C1F" w:rsidRDefault="003D4DA5" w:rsidP="00CA5655">
            <w:pPr>
              <w:jc w:val="center"/>
              <w:rPr>
                <w:rFonts w:ascii="Candara" w:hAnsi="Candara"/>
              </w:rPr>
            </w:pPr>
            <w:r w:rsidRPr="008D6C1F">
              <w:rPr>
                <w:rFonts w:ascii="Candara" w:hAnsi="Candara"/>
              </w:rPr>
              <w:t>$5,897,066,796</w:t>
            </w:r>
          </w:p>
        </w:tc>
        <w:tc>
          <w:tcPr>
            <w:tcW w:w="1890" w:type="dxa"/>
            <w:shd w:val="clear" w:color="auto" w:fill="FBE4D5" w:themeFill="accent2" w:themeFillTint="33"/>
            <w:vAlign w:val="center"/>
          </w:tcPr>
          <w:p w14:paraId="54098B57" w14:textId="77777777" w:rsidR="003D4DA5" w:rsidRPr="008E4864" w:rsidRDefault="003D4DA5" w:rsidP="00CA5655">
            <w:pPr>
              <w:jc w:val="center"/>
              <w:rPr>
                <w:rFonts w:ascii="Candara" w:hAnsi="Candara"/>
              </w:rPr>
            </w:pPr>
            <w:r w:rsidRPr="008E4864">
              <w:rPr>
                <w:rFonts w:ascii="Candara" w:hAnsi="Candara"/>
              </w:rPr>
              <w:t>$ 6,193,850,684</w:t>
            </w:r>
          </w:p>
        </w:tc>
        <w:tc>
          <w:tcPr>
            <w:tcW w:w="1980" w:type="dxa"/>
            <w:shd w:val="clear" w:color="auto" w:fill="FBE4D5" w:themeFill="accent2" w:themeFillTint="33"/>
            <w:vAlign w:val="center"/>
          </w:tcPr>
          <w:p w14:paraId="0D337DB9" w14:textId="77777777" w:rsidR="003D4DA5" w:rsidRPr="008E4864" w:rsidRDefault="003D4DA5" w:rsidP="00CA5655">
            <w:pPr>
              <w:keepNext/>
              <w:jc w:val="center"/>
              <w:rPr>
                <w:rFonts w:ascii="Candara" w:hAnsi="Candara"/>
              </w:rPr>
            </w:pPr>
            <w:r w:rsidRPr="008E4864">
              <w:rPr>
                <w:rFonts w:ascii="Candara" w:hAnsi="Candara"/>
              </w:rPr>
              <w:t>$6,579,406,268</w:t>
            </w:r>
          </w:p>
        </w:tc>
        <w:tc>
          <w:tcPr>
            <w:tcW w:w="1980" w:type="dxa"/>
            <w:shd w:val="clear" w:color="auto" w:fill="FBE4D5" w:themeFill="accent2" w:themeFillTint="33"/>
            <w:vAlign w:val="center"/>
          </w:tcPr>
          <w:p w14:paraId="0B6AD204" w14:textId="77777777" w:rsidR="003D4DA5" w:rsidRPr="00586F1A" w:rsidRDefault="003D4DA5" w:rsidP="00CA5655">
            <w:pPr>
              <w:keepNext/>
              <w:jc w:val="center"/>
              <w:rPr>
                <w:rFonts w:ascii="Candara" w:hAnsi="Candara"/>
                <w:b/>
              </w:rPr>
            </w:pPr>
            <w:r>
              <w:rPr>
                <w:rFonts w:ascii="Candara" w:hAnsi="Candara"/>
                <w:b/>
              </w:rPr>
              <w:t>+ 13</w:t>
            </w:r>
            <w:r w:rsidRPr="00586F1A">
              <w:rPr>
                <w:rFonts w:ascii="Candara" w:hAnsi="Candara"/>
                <w:b/>
              </w:rPr>
              <w:t>%</w:t>
            </w:r>
          </w:p>
        </w:tc>
      </w:tr>
    </w:tbl>
    <w:p w14:paraId="698F41A2" w14:textId="77777777" w:rsidR="00CA5655" w:rsidRPr="00CA5655" w:rsidRDefault="00CA5655" w:rsidP="00CA5655">
      <w:pPr>
        <w:tabs>
          <w:tab w:val="left" w:pos="7110"/>
        </w:tabs>
        <w:rPr>
          <w:rFonts w:ascii="Candara" w:hAnsi="Candara"/>
        </w:rPr>
      </w:pPr>
    </w:p>
    <w:sectPr w:rsidR="00CA5655" w:rsidRPr="00CA5655" w:rsidSect="00CA56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E4FB3" w14:textId="77777777" w:rsidR="005F3386" w:rsidRDefault="005F3386" w:rsidP="00383288">
      <w:pPr>
        <w:spacing w:after="0" w:line="240" w:lineRule="auto"/>
      </w:pPr>
      <w:r>
        <w:separator/>
      </w:r>
    </w:p>
  </w:endnote>
  <w:endnote w:type="continuationSeparator" w:id="0">
    <w:p w14:paraId="70FE424C" w14:textId="77777777" w:rsidR="005F3386" w:rsidRDefault="005F3386" w:rsidP="0038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4F1B" w14:textId="77777777" w:rsidR="005F3386" w:rsidRPr="00B434A9" w:rsidRDefault="00774D0D" w:rsidP="00CA5655">
    <w:pPr>
      <w:pStyle w:val="Footer"/>
      <w:tabs>
        <w:tab w:val="clear" w:pos="4680"/>
      </w:tabs>
    </w:pPr>
    <w:sdt>
      <w:sdtPr>
        <w:rPr>
          <w:rFonts w:ascii="Candara" w:hAnsi="Candara"/>
        </w:rPr>
        <w:id w:val="476417205"/>
        <w:docPartObj>
          <w:docPartGallery w:val="Page Numbers (Bottom of Page)"/>
          <w:docPartUnique/>
        </w:docPartObj>
      </w:sdtPr>
      <w:sdtEndPr>
        <w:rPr>
          <w:noProof/>
        </w:rPr>
      </w:sdtEndPr>
      <w:sdtContent>
        <w:r w:rsidR="005F3386" w:rsidRPr="006E7784">
          <w:rPr>
            <w:rFonts w:ascii="Candara" w:hAnsi="Candara"/>
          </w:rPr>
          <w:fldChar w:fldCharType="begin"/>
        </w:r>
        <w:r w:rsidR="005F3386" w:rsidRPr="006E7784">
          <w:rPr>
            <w:rFonts w:ascii="Candara" w:hAnsi="Candara"/>
          </w:rPr>
          <w:instrText xml:space="preserve"> PAGE   \* MERGEFORMAT </w:instrText>
        </w:r>
        <w:r w:rsidR="005F3386" w:rsidRPr="006E7784">
          <w:rPr>
            <w:rFonts w:ascii="Candara" w:hAnsi="Candara"/>
          </w:rPr>
          <w:fldChar w:fldCharType="separate"/>
        </w:r>
        <w:r>
          <w:rPr>
            <w:rFonts w:ascii="Candara" w:hAnsi="Candara"/>
            <w:noProof/>
          </w:rPr>
          <w:t>2</w:t>
        </w:r>
        <w:r w:rsidR="005F3386" w:rsidRPr="006E7784">
          <w:rPr>
            <w:rFonts w:ascii="Candara" w:hAnsi="Candara"/>
            <w:noProof/>
          </w:rPr>
          <w:fldChar w:fldCharType="end"/>
        </w:r>
      </w:sdtContent>
    </w:sdt>
    <w:r w:rsidR="005F3386" w:rsidRPr="006E7784">
      <w:rPr>
        <w:rFonts w:ascii="Candara" w:hAnsi="Candara"/>
      </w:rPr>
      <w:tab/>
    </w:r>
    <w:r w:rsidR="005F3386">
      <w:rPr>
        <w:rFonts w:ascii="Candara" w:hAnsi="Candara"/>
      </w:rPr>
      <w:t xml:space="preserve">                                                                     </w:t>
    </w:r>
    <w:r w:rsidR="005F3386" w:rsidRPr="00B434A9">
      <w:rPr>
        <w:rFonts w:ascii="Candara" w:hAnsi="Candara"/>
        <w:sz w:val="18"/>
        <w:szCs w:val="18"/>
      </w:rPr>
      <w:t>Prepared by the Center for Faith &amp; The Common Good</w:t>
    </w:r>
    <w:r w:rsidR="00736068">
      <w:rPr>
        <w:rFonts w:ascii="Candara" w:hAnsi="Candara"/>
        <w:sz w:val="18"/>
        <w:szCs w:val="18"/>
      </w:rPr>
      <w:t>, March</w:t>
    </w:r>
    <w:r w:rsidR="005F3386">
      <w:rPr>
        <w:rFonts w:ascii="Candara" w:hAnsi="Candara"/>
        <w:sz w:val="18"/>
        <w:szCs w:val="18"/>
      </w:rPr>
      <w:t xml:space="preserve"> 2017</w:t>
    </w:r>
    <w:r w:rsidR="005F3386" w:rsidRPr="00B434A9">
      <w:rPr>
        <w:rFonts w:ascii="Candara" w:hAnsi="Candara"/>
        <w:sz w:val="18"/>
        <w:szCs w:val="18"/>
      </w:rPr>
      <w:t>, ©CF&amp;CG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A04D" w14:textId="77777777" w:rsidR="005F3386" w:rsidRDefault="00774D0D">
    <w:pPr>
      <w:pStyle w:val="Footer"/>
    </w:pPr>
    <w:sdt>
      <w:sdtPr>
        <w:id w:val="1377274811"/>
        <w:docPartObj>
          <w:docPartGallery w:val="Page Numbers (Bottom of Page)"/>
          <w:docPartUnique/>
        </w:docPartObj>
      </w:sdtPr>
      <w:sdtEndPr>
        <w:rPr>
          <w:noProof/>
        </w:rPr>
      </w:sdtEndPr>
      <w:sdtContent>
        <w:r w:rsidR="005F3386">
          <w:fldChar w:fldCharType="begin"/>
        </w:r>
        <w:r w:rsidR="005F3386">
          <w:instrText xml:space="preserve"> PAGE   \* MERGEFORMAT </w:instrText>
        </w:r>
        <w:r w:rsidR="005F3386">
          <w:fldChar w:fldCharType="separate"/>
        </w:r>
        <w:r w:rsidR="005F3386">
          <w:rPr>
            <w:noProof/>
          </w:rPr>
          <w:t>1</w:t>
        </w:r>
        <w:r w:rsidR="005F3386">
          <w:rPr>
            <w:noProof/>
          </w:rPr>
          <w:fldChar w:fldCharType="end"/>
        </w:r>
      </w:sdtContent>
    </w:sdt>
    <w:r w:rsidR="005F3386">
      <w:rPr>
        <w:noProof/>
      </w:rPr>
      <w:tab/>
    </w:r>
    <w:r w:rsidR="005F3386">
      <w:t>© Center for Faith &amp; The Common Good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F7D9A" w14:textId="77777777" w:rsidR="005F3386" w:rsidRDefault="005F3386" w:rsidP="00383288">
      <w:pPr>
        <w:spacing w:after="0" w:line="240" w:lineRule="auto"/>
      </w:pPr>
      <w:r>
        <w:separator/>
      </w:r>
    </w:p>
  </w:footnote>
  <w:footnote w:type="continuationSeparator" w:id="0">
    <w:p w14:paraId="42249C88" w14:textId="77777777" w:rsidR="005F3386" w:rsidRDefault="005F3386" w:rsidP="003832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4ACC4" w14:textId="77777777" w:rsidR="005F3386" w:rsidRPr="00390706" w:rsidRDefault="005F3386">
    <w:pPr>
      <w:pStyle w:val="Header"/>
      <w:rPr>
        <w:rFonts w:ascii="Cambria" w:hAnsi="Cambria"/>
        <w:b/>
        <w:sz w:val="24"/>
      </w:rPr>
    </w:pPr>
    <w:r w:rsidRPr="00390706">
      <w:rPr>
        <w:rFonts w:ascii="Cambria" w:hAnsi="Cambria"/>
        <w:b/>
        <w:sz w:val="24"/>
      </w:rPr>
      <w:t>Center for Faith &amp; The Common Good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08"/>
    <w:multiLevelType w:val="hybridMultilevel"/>
    <w:tmpl w:val="2AF8F156"/>
    <w:lvl w:ilvl="0" w:tplc="F0047C0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B5734"/>
    <w:multiLevelType w:val="hybridMultilevel"/>
    <w:tmpl w:val="918883EA"/>
    <w:lvl w:ilvl="0" w:tplc="05BAFD30">
      <w:numFmt w:val="bullet"/>
      <w:lvlText w:val="•"/>
      <w:lvlJc w:val="left"/>
      <w:pPr>
        <w:ind w:left="1080" w:hanging="72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F3FCA"/>
    <w:multiLevelType w:val="hybridMultilevel"/>
    <w:tmpl w:val="EB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56219"/>
    <w:multiLevelType w:val="hybridMultilevel"/>
    <w:tmpl w:val="A5E6D914"/>
    <w:lvl w:ilvl="0" w:tplc="92D0C5D6">
      <w:numFmt w:val="bullet"/>
      <w:lvlText w:val="•"/>
      <w:lvlJc w:val="left"/>
      <w:pPr>
        <w:ind w:left="1080" w:hanging="72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59"/>
    <w:rsid w:val="00136106"/>
    <w:rsid w:val="001B1D59"/>
    <w:rsid w:val="00383288"/>
    <w:rsid w:val="003D4DA5"/>
    <w:rsid w:val="003F0F7E"/>
    <w:rsid w:val="004469B2"/>
    <w:rsid w:val="0048441C"/>
    <w:rsid w:val="004F1668"/>
    <w:rsid w:val="005852D3"/>
    <w:rsid w:val="005C53CC"/>
    <w:rsid w:val="005F3386"/>
    <w:rsid w:val="00736068"/>
    <w:rsid w:val="00774D0D"/>
    <w:rsid w:val="008219D5"/>
    <w:rsid w:val="0084213B"/>
    <w:rsid w:val="00984562"/>
    <w:rsid w:val="00A445C9"/>
    <w:rsid w:val="00A55A46"/>
    <w:rsid w:val="00AD1ECE"/>
    <w:rsid w:val="00C84DE1"/>
    <w:rsid w:val="00C955B6"/>
    <w:rsid w:val="00CA5655"/>
    <w:rsid w:val="00E06E2C"/>
    <w:rsid w:val="00F66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E1"/>
    <w:pPr>
      <w:ind w:left="720"/>
      <w:contextualSpacing/>
    </w:pPr>
  </w:style>
  <w:style w:type="paragraph" w:styleId="FootnoteText">
    <w:name w:val="footnote text"/>
    <w:basedOn w:val="Normal"/>
    <w:link w:val="FootnoteTextChar"/>
    <w:uiPriority w:val="99"/>
    <w:unhideWhenUsed/>
    <w:rsid w:val="00383288"/>
    <w:pPr>
      <w:spacing w:after="0" w:line="240" w:lineRule="auto"/>
    </w:pPr>
    <w:rPr>
      <w:sz w:val="20"/>
      <w:szCs w:val="20"/>
    </w:rPr>
  </w:style>
  <w:style w:type="character" w:customStyle="1" w:styleId="FootnoteTextChar">
    <w:name w:val="Footnote Text Char"/>
    <w:basedOn w:val="DefaultParagraphFont"/>
    <w:link w:val="FootnoteText"/>
    <w:uiPriority w:val="99"/>
    <w:rsid w:val="00383288"/>
    <w:rPr>
      <w:sz w:val="20"/>
      <w:szCs w:val="20"/>
    </w:rPr>
  </w:style>
  <w:style w:type="character" w:styleId="FootnoteReference">
    <w:name w:val="footnote reference"/>
    <w:basedOn w:val="DefaultParagraphFont"/>
    <w:uiPriority w:val="99"/>
    <w:unhideWhenUsed/>
    <w:rsid w:val="00383288"/>
    <w:rPr>
      <w:vertAlign w:val="superscript"/>
    </w:rPr>
  </w:style>
  <w:style w:type="character" w:styleId="Hyperlink">
    <w:name w:val="Hyperlink"/>
    <w:basedOn w:val="DefaultParagraphFont"/>
    <w:uiPriority w:val="99"/>
    <w:unhideWhenUsed/>
    <w:rsid w:val="00383288"/>
    <w:rPr>
      <w:color w:val="0563C1" w:themeColor="hyperlink"/>
      <w:u w:val="single"/>
    </w:rPr>
  </w:style>
  <w:style w:type="table" w:customStyle="1" w:styleId="GridTable4-Accent21">
    <w:name w:val="Grid Table 4 - Accent 21"/>
    <w:basedOn w:val="TableNormal"/>
    <w:uiPriority w:val="49"/>
    <w:rsid w:val="00383288"/>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basedOn w:val="Normal"/>
    <w:next w:val="Normal"/>
    <w:uiPriority w:val="35"/>
    <w:unhideWhenUsed/>
    <w:qFormat/>
    <w:rsid w:val="0038328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8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88"/>
  </w:style>
  <w:style w:type="paragraph" w:styleId="Footer">
    <w:name w:val="footer"/>
    <w:basedOn w:val="Normal"/>
    <w:link w:val="FooterChar"/>
    <w:uiPriority w:val="99"/>
    <w:unhideWhenUsed/>
    <w:rsid w:val="0038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88"/>
  </w:style>
  <w:style w:type="table" w:styleId="TableGrid">
    <w:name w:val="Table Grid"/>
    <w:basedOn w:val="TableNormal"/>
    <w:uiPriority w:val="39"/>
    <w:rsid w:val="00383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3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3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E1"/>
    <w:pPr>
      <w:ind w:left="720"/>
      <w:contextualSpacing/>
    </w:pPr>
  </w:style>
  <w:style w:type="paragraph" w:styleId="FootnoteText">
    <w:name w:val="footnote text"/>
    <w:basedOn w:val="Normal"/>
    <w:link w:val="FootnoteTextChar"/>
    <w:uiPriority w:val="99"/>
    <w:unhideWhenUsed/>
    <w:rsid w:val="00383288"/>
    <w:pPr>
      <w:spacing w:after="0" w:line="240" w:lineRule="auto"/>
    </w:pPr>
    <w:rPr>
      <w:sz w:val="20"/>
      <w:szCs w:val="20"/>
    </w:rPr>
  </w:style>
  <w:style w:type="character" w:customStyle="1" w:styleId="FootnoteTextChar">
    <w:name w:val="Footnote Text Char"/>
    <w:basedOn w:val="DefaultParagraphFont"/>
    <w:link w:val="FootnoteText"/>
    <w:uiPriority w:val="99"/>
    <w:rsid w:val="00383288"/>
    <w:rPr>
      <w:sz w:val="20"/>
      <w:szCs w:val="20"/>
    </w:rPr>
  </w:style>
  <w:style w:type="character" w:styleId="FootnoteReference">
    <w:name w:val="footnote reference"/>
    <w:basedOn w:val="DefaultParagraphFont"/>
    <w:uiPriority w:val="99"/>
    <w:unhideWhenUsed/>
    <w:rsid w:val="00383288"/>
    <w:rPr>
      <w:vertAlign w:val="superscript"/>
    </w:rPr>
  </w:style>
  <w:style w:type="character" w:styleId="Hyperlink">
    <w:name w:val="Hyperlink"/>
    <w:basedOn w:val="DefaultParagraphFont"/>
    <w:uiPriority w:val="99"/>
    <w:unhideWhenUsed/>
    <w:rsid w:val="00383288"/>
    <w:rPr>
      <w:color w:val="0563C1" w:themeColor="hyperlink"/>
      <w:u w:val="single"/>
    </w:rPr>
  </w:style>
  <w:style w:type="table" w:customStyle="1" w:styleId="GridTable4-Accent21">
    <w:name w:val="Grid Table 4 - Accent 21"/>
    <w:basedOn w:val="TableNormal"/>
    <w:uiPriority w:val="49"/>
    <w:rsid w:val="00383288"/>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basedOn w:val="Normal"/>
    <w:next w:val="Normal"/>
    <w:uiPriority w:val="35"/>
    <w:unhideWhenUsed/>
    <w:qFormat/>
    <w:rsid w:val="0038328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8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88"/>
  </w:style>
  <w:style w:type="paragraph" w:styleId="Footer">
    <w:name w:val="footer"/>
    <w:basedOn w:val="Normal"/>
    <w:link w:val="FooterChar"/>
    <w:uiPriority w:val="99"/>
    <w:unhideWhenUsed/>
    <w:rsid w:val="0038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88"/>
  </w:style>
  <w:style w:type="table" w:styleId="TableGrid">
    <w:name w:val="Table Grid"/>
    <w:basedOn w:val="TableNormal"/>
    <w:uiPriority w:val="39"/>
    <w:rsid w:val="00383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3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ithforcommongood.org/work.html" TargetMode="External"/><Relationship Id="rId9" Type="http://schemas.openxmlformats.org/officeDocument/2006/relationships/footer" Target="footer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eysha\Documents\Work\CFCG\Financing\pfd%20financing%20chart.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ndara" panose="020E0502030303020204" pitchFamily="34" charset="0"/>
                <a:ea typeface="+mn-ea"/>
                <a:cs typeface="+mn-cs"/>
              </a:defRPr>
            </a:pPr>
            <a:r>
              <a:rPr lang="en-US" b="1">
                <a:solidFill>
                  <a:sysClr val="windowText" lastClr="000000"/>
                </a:solidFill>
              </a:rPr>
              <a:t>Change</a:t>
            </a:r>
            <a:r>
              <a:rPr lang="en-US" b="1" baseline="0">
                <a:solidFill>
                  <a:sysClr val="windowText" lastClr="000000"/>
                </a:solidFill>
              </a:rPr>
              <a:t> in USG Revenue vs Total Revenue of US Faith-based NGOs</a:t>
            </a:r>
          </a:p>
          <a:p>
            <a:pPr>
              <a:defRPr sz="1400" b="0" i="0" u="none" strike="noStrike" kern="1200" spc="0" baseline="0">
                <a:solidFill>
                  <a:schemeClr val="tx1">
                    <a:lumMod val="65000"/>
                    <a:lumOff val="35000"/>
                  </a:schemeClr>
                </a:solidFill>
                <a:latin typeface="Candara" panose="020E0502030303020204" pitchFamily="34" charset="0"/>
                <a:ea typeface="+mn-ea"/>
                <a:cs typeface="+mn-cs"/>
              </a:defRPr>
            </a:pPr>
            <a:r>
              <a:rPr lang="en-US" b="1" baseline="0">
                <a:solidFill>
                  <a:sysClr val="windowText" lastClr="000000"/>
                </a:solidFill>
              </a:rPr>
              <a:t> from FY2011 to FY2015</a:t>
            </a:r>
          </a:p>
        </c:rich>
      </c:tx>
      <c:overlay val="0"/>
      <c:spPr>
        <a:noFill/>
        <a:ln>
          <a:noFill/>
        </a:ln>
        <a:effectLst/>
      </c:spPr>
    </c:title>
    <c:autoTitleDeleted val="0"/>
    <c:plotArea>
      <c:layout/>
      <c:areaChart>
        <c:grouping val="standard"/>
        <c:varyColors val="0"/>
        <c:ser>
          <c:idx val="1"/>
          <c:order val="1"/>
          <c:tx>
            <c:v>Total Revenue</c:v>
          </c:tx>
          <c:spPr>
            <a:solidFill>
              <a:schemeClr val="accent2"/>
            </a:solidFill>
            <a:ln>
              <a:noFill/>
            </a:ln>
            <a:effectLst/>
          </c:spPr>
          <c:dLbls>
            <c:dLbl>
              <c:idx val="0"/>
              <c:delete val="1"/>
              <c:extLst>
                <c:ext xmlns:c15="http://schemas.microsoft.com/office/drawing/2012/chart" uri="{CE6537A1-D6FC-4f65-9D91-7224C49458BB}"/>
              </c:extLst>
            </c:dLbl>
            <c:dLbl>
              <c:idx val="1"/>
              <c:layout>
                <c:manualLayout>
                  <c:x val="4.43527897920973E-5"/>
                  <c:y val="-0.19293169491570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ndara" panose="020E0502030303020204" pitchFamily="34" charset="0"/>
                        <a:ea typeface="+mn-ea"/>
                        <a:cs typeface="+mn-cs"/>
                      </a:defRPr>
                    </a:pPr>
                    <a:r>
                      <a:rPr lang="en-US" b="1"/>
                      <a:t>FY2012 Total Revenue: 5,824 million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985276637991101"/>
                      <c:h val="0.14780754476696328"/>
                    </c:manualLayout>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ndara" panose="020E0502030303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sq" cmpd="sng" algn="ctr">
                      <a:solidFill>
                        <a:schemeClr val="tx1"/>
                      </a:solidFill>
                      <a:round/>
                      <a:headEnd type="diamond"/>
                    </a:ln>
                    <a:effectLst/>
                  </c:spPr>
                </c15:leaderLines>
              </c:ext>
            </c:extLst>
          </c:dLbls>
          <c:val>
            <c:numRef>
              <c:f>'[pfd financing chart.xlsx]Sheet6 (2)'!$B$73:$F$73</c:f>
              <c:numCache>
                <c:formatCode>General</c:formatCode>
                <c:ptCount val="5"/>
                <c:pt idx="0">
                  <c:v>5844.0</c:v>
                </c:pt>
                <c:pt idx="1">
                  <c:v>5824.0</c:v>
                </c:pt>
                <c:pt idx="2">
                  <c:v>5897.0</c:v>
                </c:pt>
                <c:pt idx="3">
                  <c:v>6194.0</c:v>
                </c:pt>
                <c:pt idx="4">
                  <c:v>6579.0</c:v>
                </c:pt>
              </c:numCache>
            </c:numRef>
          </c:val>
          <c:extLst xmlns:c16r2="http://schemas.microsoft.com/office/drawing/2015/06/chart">
            <c:ext xmlns:c16="http://schemas.microsoft.com/office/drawing/2014/chart" uri="{C3380CC4-5D6E-409C-BE32-E72D297353CC}">
              <c16:uniqueId val="{00000000-6DDD-4AFD-983D-782B5C1883D6}"/>
            </c:ext>
          </c:extLst>
        </c:ser>
        <c:dLbls>
          <c:showLegendKey val="0"/>
          <c:showVal val="0"/>
          <c:showCatName val="0"/>
          <c:showSerName val="0"/>
          <c:showPercent val="0"/>
          <c:showBubbleSize val="0"/>
        </c:dLbls>
        <c:axId val="-2101285512"/>
        <c:axId val="-2100140472"/>
      </c:areaChart>
      <c:areaChart>
        <c:grouping val="standard"/>
        <c:varyColors val="0"/>
        <c:ser>
          <c:idx val="0"/>
          <c:order val="0"/>
          <c:tx>
            <c:v>USG Revenue</c:v>
          </c:tx>
          <c:spPr>
            <a:solidFill>
              <a:schemeClr val="accent1"/>
            </a:solidFill>
            <a:ln>
              <a:noFill/>
            </a:ln>
            <a:effectLst/>
          </c:spPr>
          <c:cat>
            <c:strRef>
              <c:f>'[pfd financing chart.xlsx]Sheet6 (2)'!$B$76:$F$76</c:f>
              <c:strCache>
                <c:ptCount val="5"/>
                <c:pt idx="0">
                  <c:v>FY2011</c:v>
                </c:pt>
                <c:pt idx="1">
                  <c:v>FY2012</c:v>
                </c:pt>
                <c:pt idx="2">
                  <c:v>FY2013</c:v>
                </c:pt>
                <c:pt idx="3">
                  <c:v>FY2014</c:v>
                </c:pt>
                <c:pt idx="4">
                  <c:v>FY2015</c:v>
                </c:pt>
              </c:strCache>
            </c:strRef>
          </c:cat>
          <c:val>
            <c:numRef>
              <c:f>'[pfd financing chart.xlsx]Sheet6 (2)'!$B$72:$F$72</c:f>
              <c:numCache>
                <c:formatCode>General</c:formatCode>
                <c:ptCount val="5"/>
                <c:pt idx="0">
                  <c:v>941.0</c:v>
                </c:pt>
                <c:pt idx="1">
                  <c:v>860.0</c:v>
                </c:pt>
                <c:pt idx="2">
                  <c:v>775.0</c:v>
                </c:pt>
                <c:pt idx="3">
                  <c:v>763.0</c:v>
                </c:pt>
                <c:pt idx="4">
                  <c:v>827.0</c:v>
                </c:pt>
              </c:numCache>
            </c:numRef>
          </c:val>
          <c:extLst xmlns:c16r2="http://schemas.microsoft.com/office/drawing/2015/06/chart">
            <c:ext xmlns:c16="http://schemas.microsoft.com/office/drawing/2014/chart" uri="{C3380CC4-5D6E-409C-BE32-E72D297353CC}">
              <c16:uniqueId val="{00000001-6DDD-4AFD-983D-782B5C1883D6}"/>
            </c:ext>
          </c:extLst>
        </c:ser>
        <c:dLbls>
          <c:showLegendKey val="0"/>
          <c:showVal val="0"/>
          <c:showCatName val="0"/>
          <c:showSerName val="0"/>
          <c:showPercent val="0"/>
          <c:showBubbleSize val="0"/>
        </c:dLbls>
        <c:axId val="-2099438312"/>
        <c:axId val="-2102367192"/>
      </c:areaChart>
      <c:lineChart>
        <c:grouping val="standard"/>
        <c:varyColors val="0"/>
        <c:ser>
          <c:idx val="2"/>
          <c:order val="2"/>
          <c:spPr>
            <a:ln w="28575" cap="rnd">
              <a:solidFill>
                <a:schemeClr val="accent3"/>
              </a:solidFill>
              <a:round/>
            </a:ln>
            <a:effectLst/>
          </c:spPr>
          <c:marker>
            <c:symbol val="none"/>
          </c:marker>
          <c:dLbls>
            <c:dLbl>
              <c:idx val="0"/>
              <c:layout>
                <c:manualLayout>
                  <c:x val="-0.0512520069606684"/>
                  <c:y val="-0.235188571171297"/>
                </c:manualLayout>
              </c:layout>
              <c:tx>
                <c:rich>
                  <a:bodyPr rot="0" spcFirstLastPara="1" vertOverflow="overflow" horzOverflow="overflow" vert="horz" wrap="square" lIns="38100" tIns="19050" rIns="38100" bIns="19050" anchor="ctr" anchorCtr="1">
                    <a:noAutofit/>
                  </a:bodyPr>
                  <a:lstStyle/>
                  <a:p>
                    <a:pPr>
                      <a:defRPr sz="800" b="1" i="0" u="none" strike="noStrike" kern="1200" baseline="0">
                        <a:solidFill>
                          <a:sysClr val="windowText" lastClr="000000"/>
                        </a:solidFill>
                        <a:latin typeface="Candara" panose="020E0502030303020204" pitchFamily="34" charset="0"/>
                        <a:ea typeface="+mn-ea"/>
                        <a:cs typeface="+mn-cs"/>
                      </a:defRPr>
                    </a:pPr>
                    <a:r>
                      <a:rPr lang="en-US" sz="800" b="1">
                        <a:solidFill>
                          <a:sysClr val="windowText" lastClr="000000"/>
                        </a:solidFill>
                      </a:rPr>
                      <a:t>FY2011 Total </a:t>
                    </a:r>
                    <a:r>
                      <a:rPr lang="en-US" sz="900" b="1">
                        <a:solidFill>
                          <a:sysClr val="windowText" lastClr="000000"/>
                        </a:solidFill>
                      </a:rPr>
                      <a:t>Revenue</a:t>
                    </a:r>
                    <a:r>
                      <a:rPr lang="en-US" sz="800" b="1">
                        <a:solidFill>
                          <a:sysClr val="windowText" lastClr="000000"/>
                        </a:solidFill>
                      </a:rPr>
                      <a:t>:  </a:t>
                    </a:r>
                  </a:p>
                  <a:p>
                    <a:pPr>
                      <a:defRPr sz="800" b="1" i="0" u="none" strike="noStrike" kern="1200" baseline="0">
                        <a:solidFill>
                          <a:sysClr val="windowText" lastClr="000000"/>
                        </a:solidFill>
                        <a:latin typeface="Candara" panose="020E0502030303020204" pitchFamily="34" charset="0"/>
                        <a:ea typeface="+mn-ea"/>
                        <a:cs typeface="+mn-cs"/>
                      </a:defRPr>
                    </a:pPr>
                    <a:r>
                      <a:rPr lang="en-US" sz="800" b="1">
                        <a:solidFill>
                          <a:sysClr val="windowText" lastClr="000000"/>
                        </a:solidFill>
                      </a:rPr>
                      <a:t>5,845 million</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8.6954515300971993E-2"/>
                      <c:h val="0.10612112177210375"/>
                    </c:manualLayout>
                  </c15:layout>
                </c:ext>
              </c:extLst>
            </c:dLbl>
            <c:spPr>
              <a:noFill/>
              <a:ln>
                <a:noFill/>
              </a:ln>
              <a:effectLst/>
            </c:spPr>
            <c:txPr>
              <a:bodyPr rot="0" spcFirstLastPara="1" vertOverflow="overflow" horzOverflow="overflow" vert="horz" wrap="square" lIns="38100" tIns="19050" rIns="38100" bIns="19050" anchor="ctr" anchorCtr="1">
                <a:spAutoFit/>
              </a:bodyPr>
              <a:lstStyle/>
              <a:p>
                <a:pPr>
                  <a:defRPr sz="800" b="1" i="0" u="none" strike="noStrike" kern="1200" baseline="0">
                    <a:solidFill>
                      <a:sysClr val="windowText" lastClr="000000"/>
                    </a:solidFill>
                    <a:latin typeface="Candara" panose="020E0502030303020204" pitchFamily="34"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solidFill>
                      <a:round/>
                      <a:headEnd type="diamond"/>
                    </a:ln>
                    <a:effectLst/>
                  </c:spPr>
                </c15:leaderLines>
              </c:ext>
            </c:extLst>
          </c:dLbls>
          <c:val>
            <c:numRef>
              <c:f>'[pfd financing chart.xlsx]Sheet6 (2)'!$B$74:$F$74</c:f>
              <c:numCache>
                <c:formatCode>General</c:formatCode>
                <c:ptCount val="5"/>
                <c:pt idx="0">
                  <c:v>5844.0</c:v>
                </c:pt>
                <c:pt idx="1">
                  <c:v>5844.0</c:v>
                </c:pt>
                <c:pt idx="2">
                  <c:v>5844.0</c:v>
                </c:pt>
                <c:pt idx="3">
                  <c:v>5844.0</c:v>
                </c:pt>
                <c:pt idx="4">
                  <c:v>5844.0</c:v>
                </c:pt>
              </c:numCache>
            </c:numRef>
          </c:val>
          <c:smooth val="0"/>
          <c:extLst xmlns:c16r2="http://schemas.microsoft.com/office/drawing/2015/06/chart">
            <c:ext xmlns:c16="http://schemas.microsoft.com/office/drawing/2014/chart" uri="{C3380CC4-5D6E-409C-BE32-E72D297353CC}">
              <c16:uniqueId val="{00000003-6DDD-4AFD-983D-782B5C1883D6}"/>
            </c:ext>
          </c:extLst>
        </c:ser>
        <c:dLbls>
          <c:showLegendKey val="0"/>
          <c:showVal val="0"/>
          <c:showCatName val="0"/>
          <c:showSerName val="0"/>
          <c:showPercent val="0"/>
          <c:showBubbleSize val="0"/>
        </c:dLbls>
        <c:marker val="1"/>
        <c:smooth val="0"/>
        <c:axId val="-2101285512"/>
        <c:axId val="-2100140472"/>
      </c:lineChart>
      <c:catAx>
        <c:axId val="-2101285512"/>
        <c:scaling>
          <c:orientation val="minMax"/>
        </c:scaling>
        <c:delete val="0"/>
        <c:axPos val="b"/>
        <c:minorGridlines>
          <c:spPr>
            <a:ln w="9525" cap="flat" cmpd="sng" algn="ctr">
              <a:solidFill>
                <a:schemeClr val="tx1">
                  <a:lumMod val="5000"/>
                  <a:lumOff val="95000"/>
                </a:schemeClr>
              </a:solidFill>
              <a:round/>
            </a:ln>
            <a:effectLst/>
          </c:spPr>
        </c:minorGridlines>
        <c:numFmt formatCode="&quot;FY201&quot;#,##0"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ndara" panose="020E0502030303020204" pitchFamily="34" charset="0"/>
                <a:ea typeface="+mn-ea"/>
                <a:cs typeface="+mn-cs"/>
              </a:defRPr>
            </a:pPr>
            <a:endParaRPr lang="en-US"/>
          </a:p>
        </c:txPr>
        <c:crossAx val="-2100140472"/>
        <c:crosses val="autoZero"/>
        <c:auto val="1"/>
        <c:lblAlgn val="ctr"/>
        <c:lblOffset val="200"/>
        <c:tickLblSkip val="1"/>
        <c:noMultiLvlLbl val="0"/>
      </c:catAx>
      <c:valAx>
        <c:axId val="-2100140472"/>
        <c:scaling>
          <c:orientation val="minMax"/>
          <c:max val="6580.0"/>
          <c:min val="57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Candara" panose="020E0502030303020204" pitchFamily="34" charset="0"/>
                    <a:ea typeface="+mn-ea"/>
                    <a:cs typeface="+mn-cs"/>
                  </a:defRPr>
                </a:pPr>
                <a:r>
                  <a:rPr lang="en-US" b="1">
                    <a:solidFill>
                      <a:sysClr val="windowText" lastClr="000000"/>
                    </a:solidFill>
                  </a:rPr>
                  <a:t>Total Revenue (in</a:t>
                </a:r>
                <a:r>
                  <a:rPr lang="en-US" b="1" baseline="0">
                    <a:solidFill>
                      <a:sysClr val="windowText" lastClr="000000"/>
                    </a:solidFill>
                  </a:rPr>
                  <a:t> Millions, USD)</a:t>
                </a:r>
                <a:endParaRPr lang="en-US" b="1">
                  <a:solidFill>
                    <a:sysClr val="windowText" lastClr="000000"/>
                  </a:solidFill>
                </a:endParaRPr>
              </a:p>
            </c:rich>
          </c:tx>
          <c:layout>
            <c:manualLayout>
              <c:xMode val="edge"/>
              <c:yMode val="edge"/>
              <c:x val="0.00931684157891881"/>
              <c:y val="0.2495156236567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ndara" panose="020E0502030303020204" pitchFamily="34" charset="0"/>
                <a:ea typeface="+mn-ea"/>
                <a:cs typeface="+mn-cs"/>
              </a:defRPr>
            </a:pPr>
            <a:endParaRPr lang="en-US"/>
          </a:p>
        </c:txPr>
        <c:crossAx val="-2101285512"/>
        <c:crossesAt val="1.0"/>
        <c:crossBetween val="between"/>
        <c:majorUnit val="50.0"/>
      </c:valAx>
      <c:valAx>
        <c:axId val="-2102367192"/>
        <c:scaling>
          <c:orientation val="minMax"/>
          <c:max val="1325.0"/>
          <c:min val="725.0"/>
        </c:scaling>
        <c:delete val="0"/>
        <c:axPos val="r"/>
        <c:title>
          <c:tx>
            <c:rich>
              <a:bodyPr rot="5400000" spcFirstLastPara="1" vertOverflow="ellipsis" wrap="square" anchor="b" anchorCtr="1"/>
              <a:lstStyle/>
              <a:p>
                <a:pPr>
                  <a:defRPr sz="1000" b="0" i="0" u="none" strike="noStrike" kern="1200" baseline="0">
                    <a:solidFill>
                      <a:sysClr val="windowText" lastClr="000000"/>
                    </a:solidFill>
                    <a:latin typeface="Candara" panose="020E0502030303020204" pitchFamily="34" charset="0"/>
                    <a:ea typeface="+mn-ea"/>
                    <a:cs typeface="+mn-cs"/>
                  </a:defRPr>
                </a:pPr>
                <a:r>
                  <a:rPr lang="en-US" b="1">
                    <a:solidFill>
                      <a:sysClr val="windowText" lastClr="000000"/>
                    </a:solidFill>
                  </a:rPr>
                  <a:t>USG</a:t>
                </a:r>
                <a:r>
                  <a:rPr lang="en-US" b="1" baseline="0">
                    <a:solidFill>
                      <a:sysClr val="windowText" lastClr="000000"/>
                    </a:solidFill>
                  </a:rPr>
                  <a:t> Revenue (in Millions, USD)</a:t>
                </a:r>
                <a:endParaRPr lang="en-US" b="1">
                  <a:solidFill>
                    <a:sysClr val="windowText" lastClr="000000"/>
                  </a:solidFill>
                </a:endParaRPr>
              </a:p>
            </c:rich>
          </c:tx>
          <c:layout>
            <c:manualLayout>
              <c:xMode val="edge"/>
              <c:yMode val="edge"/>
              <c:x val="0.964799140210058"/>
              <c:y val="0.26180899567862"/>
            </c:manualLayout>
          </c:layout>
          <c:overlay val="0"/>
          <c:spPr>
            <a:noFill/>
            <a:ln>
              <a:noFill/>
            </a:ln>
            <a:effectLst/>
          </c:spPr>
        </c:title>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ndara" panose="020E0502030303020204" pitchFamily="34" charset="0"/>
                <a:ea typeface="+mn-ea"/>
                <a:cs typeface="+mn-cs"/>
              </a:defRPr>
            </a:pPr>
            <a:endParaRPr lang="en-US"/>
          </a:p>
        </c:txPr>
        <c:crossAx val="-2099438312"/>
        <c:crosses val="max"/>
        <c:crossBetween val="between"/>
        <c:majorUnit val="50.0"/>
      </c:valAx>
      <c:catAx>
        <c:axId val="-2099438312"/>
        <c:scaling>
          <c:orientation val="minMax"/>
        </c:scaling>
        <c:delete val="1"/>
        <c:axPos val="b"/>
        <c:numFmt formatCode="General" sourceLinked="1"/>
        <c:majorTickMark val="out"/>
        <c:minorTickMark val="none"/>
        <c:tickLblPos val="nextTo"/>
        <c:crossAx val="-2102367192"/>
        <c:crosses val="autoZero"/>
        <c:auto val="1"/>
        <c:lblAlgn val="ctr"/>
        <c:lblOffset val="100"/>
        <c:noMultiLvlLbl val="0"/>
      </c:cat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ndara" panose="020E0502030303020204" pitchFamily="34"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ndara" panose="020E0502030303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824</Words>
  <Characters>4702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Aeysha Chaudhry</dc:creator>
  <cp:keywords/>
  <dc:description/>
  <cp:lastModifiedBy>Stacy Nam</cp:lastModifiedBy>
  <cp:revision>3</cp:revision>
  <dcterms:created xsi:type="dcterms:W3CDTF">2017-03-16T14:11:00Z</dcterms:created>
  <dcterms:modified xsi:type="dcterms:W3CDTF">2017-03-20T14:29:00Z</dcterms:modified>
</cp:coreProperties>
</file>