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A14D" w14:textId="46144A66" w:rsidR="008054B6" w:rsidRDefault="006617E8" w:rsidP="008054B6">
      <w:pPr>
        <w:pStyle w:val="StudyTitle"/>
      </w:pPr>
      <w:bookmarkStart w:id="0" w:name="_GoBack"/>
      <w:bookmarkEnd w:id="0"/>
      <w:r>
        <w:t xml:space="preserve">Unanticipated impacts of urban </w:t>
      </w:r>
      <w:r w:rsidR="008054B6">
        <w:t xml:space="preserve">food vouchers in somalia </w:t>
      </w:r>
    </w:p>
    <w:p w14:paraId="775FF830" w14:textId="33FED76B" w:rsidR="008054B6" w:rsidRDefault="008054B6" w:rsidP="008054B6">
      <w:pPr>
        <w:pStyle w:val="StudySubtitle"/>
        <w:pBdr>
          <w:bottom w:val="single" w:sz="12" w:space="1" w:color="auto"/>
        </w:pBdr>
      </w:pPr>
      <w:r>
        <w:t>June-December 2014</w:t>
      </w:r>
    </w:p>
    <w:p w14:paraId="2CEB262A" w14:textId="77777777" w:rsidR="008054B6" w:rsidRDefault="008054B6" w:rsidP="008054B6">
      <w:pPr>
        <w:pStyle w:val="StudySubtitle"/>
        <w:pBdr>
          <w:bottom w:val="single" w:sz="12" w:space="1" w:color="auto"/>
        </w:pBdr>
      </w:pPr>
    </w:p>
    <w:p w14:paraId="2E3BCEA5" w14:textId="77777777" w:rsidR="008054B6" w:rsidRDefault="008054B6" w:rsidP="008054B6">
      <w:pPr>
        <w:pStyle w:val="StudySubtitle"/>
      </w:pPr>
    </w:p>
    <w:p w14:paraId="47B86E86" w14:textId="290EAB4F" w:rsidR="008054B6" w:rsidRDefault="008054B6" w:rsidP="008054B6">
      <w:pPr>
        <w:pStyle w:val="StudyDate"/>
      </w:pPr>
      <w:r>
        <w:t>Study published June</w:t>
      </w:r>
      <w:r w:rsidRPr="00B247A6">
        <w:t xml:space="preserve"> 201</w:t>
      </w:r>
      <w:r>
        <w:t>5</w:t>
      </w:r>
    </w:p>
    <w:p w14:paraId="0A16AE14" w14:textId="77777777" w:rsidR="008054B6" w:rsidRDefault="008054B6" w:rsidP="008054B6">
      <w:pPr>
        <w:pStyle w:val="StudySubtitle"/>
      </w:pPr>
    </w:p>
    <w:p w14:paraId="3F1503A3" w14:textId="77777777" w:rsidR="008054B6" w:rsidRDefault="008054B6" w:rsidP="008054B6">
      <w:pPr>
        <w:spacing w:after="0" w:line="240" w:lineRule="auto"/>
        <w:rPr>
          <w:rFonts w:ascii="Times New Roman" w:hAnsi="Times New Roman" w:cs="Times New Roman"/>
          <w:i/>
          <w:color w:val="0070C0"/>
          <w:sz w:val="24"/>
          <w:szCs w:val="24"/>
        </w:rPr>
      </w:pPr>
      <w:r w:rsidRPr="001B6478">
        <w:rPr>
          <w:rFonts w:ascii="Times New Roman" w:hAnsi="Times New Roman" w:cs="Times New Roman"/>
          <w:i/>
          <w:color w:val="0070C0"/>
          <w:sz w:val="24"/>
          <w:szCs w:val="24"/>
        </w:rPr>
        <w:t xml:space="preserve">Beginning in early 2013, CRS implemented a series of food voucher programs, designed to meet the urgent food needs of vulnerable IDP and host households in urban communities. The vouchers were unconditional, but restricted to food purchases.  The programs began in Kismayo in January 2013 (to December 2013), Baidoa (February 2014 to August 2014) and Mogadishu (July 2014 to December 2014).  While the voucher program focused primarily on increasing food access and improving food security outcomes, CRS noted multiple unanticipated impacts on households, market actors, and communities, demonstrating the wide-reaching potential of urban cash-based programming.  </w:t>
      </w:r>
    </w:p>
    <w:p w14:paraId="0974F2E9" w14:textId="77777777" w:rsidR="008054B6" w:rsidRDefault="008054B6" w:rsidP="008054B6">
      <w:pPr>
        <w:spacing w:after="0" w:line="240" w:lineRule="auto"/>
        <w:rPr>
          <w:rFonts w:ascii="Times New Roman" w:hAnsi="Times New Roman" w:cs="Times New Roman"/>
          <w:i/>
          <w:color w:val="0070C0"/>
          <w:sz w:val="24"/>
          <w:szCs w:val="24"/>
        </w:rPr>
      </w:pPr>
    </w:p>
    <w:p w14:paraId="121DCBC7" w14:textId="77777777" w:rsidR="008054B6" w:rsidRDefault="008054B6" w:rsidP="008054B6">
      <w:pPr>
        <w:spacing w:after="0" w:line="240" w:lineRule="auto"/>
        <w:rPr>
          <w:rFonts w:ascii="Times New Roman" w:hAnsi="Times New Roman" w:cs="Times New Roman"/>
          <w:i/>
          <w:color w:val="0070C0"/>
          <w:sz w:val="24"/>
          <w:szCs w:val="24"/>
        </w:rPr>
      </w:pPr>
    </w:p>
    <w:p w14:paraId="59239F6E" w14:textId="77777777" w:rsidR="008054B6" w:rsidRDefault="008054B6" w:rsidP="008054B6">
      <w:pPr>
        <w:spacing w:after="0" w:line="240" w:lineRule="auto"/>
        <w:rPr>
          <w:rFonts w:ascii="Times New Roman" w:hAnsi="Times New Roman" w:cs="Times New Roman"/>
          <w:i/>
          <w:color w:val="0070C0"/>
          <w:sz w:val="24"/>
          <w:szCs w:val="24"/>
        </w:rPr>
      </w:pPr>
    </w:p>
    <w:p w14:paraId="46A813DB" w14:textId="77777777" w:rsidR="008054B6" w:rsidRDefault="008054B6" w:rsidP="008054B6">
      <w:pPr>
        <w:spacing w:after="0" w:line="240" w:lineRule="auto"/>
        <w:rPr>
          <w:rFonts w:ascii="Times New Roman" w:hAnsi="Times New Roman" w:cs="Times New Roman"/>
          <w:i/>
          <w:color w:val="0070C0"/>
          <w:sz w:val="24"/>
          <w:szCs w:val="24"/>
        </w:rPr>
      </w:pPr>
    </w:p>
    <w:p w14:paraId="390E8AAE" w14:textId="77777777" w:rsidR="008054B6" w:rsidRDefault="008054B6" w:rsidP="008054B6">
      <w:pPr>
        <w:spacing w:after="0" w:line="240" w:lineRule="auto"/>
        <w:rPr>
          <w:rFonts w:ascii="Times New Roman" w:hAnsi="Times New Roman" w:cs="Times New Roman"/>
          <w:i/>
          <w:color w:val="0070C0"/>
          <w:sz w:val="24"/>
          <w:szCs w:val="24"/>
        </w:rPr>
      </w:pPr>
    </w:p>
    <w:p w14:paraId="7DEB120B" w14:textId="77777777" w:rsidR="008054B6" w:rsidRDefault="008054B6" w:rsidP="008054B6">
      <w:pPr>
        <w:spacing w:after="0" w:line="240" w:lineRule="auto"/>
        <w:rPr>
          <w:rFonts w:ascii="Times New Roman" w:hAnsi="Times New Roman" w:cs="Times New Roman"/>
          <w:i/>
          <w:color w:val="0070C0"/>
          <w:sz w:val="24"/>
          <w:szCs w:val="24"/>
        </w:rPr>
      </w:pPr>
    </w:p>
    <w:p w14:paraId="3E203239" w14:textId="77777777" w:rsidR="008054B6" w:rsidRDefault="008054B6" w:rsidP="008054B6">
      <w:pPr>
        <w:spacing w:after="0" w:line="240" w:lineRule="auto"/>
        <w:rPr>
          <w:rFonts w:ascii="Times New Roman" w:hAnsi="Times New Roman" w:cs="Times New Roman"/>
          <w:i/>
          <w:color w:val="0070C0"/>
          <w:sz w:val="24"/>
          <w:szCs w:val="24"/>
        </w:rPr>
      </w:pPr>
    </w:p>
    <w:p w14:paraId="7D81811A" w14:textId="77777777" w:rsidR="008054B6" w:rsidRDefault="008054B6" w:rsidP="008054B6">
      <w:pPr>
        <w:spacing w:after="0" w:line="240" w:lineRule="auto"/>
        <w:rPr>
          <w:rFonts w:ascii="Times New Roman" w:hAnsi="Times New Roman" w:cs="Times New Roman"/>
          <w:i/>
          <w:color w:val="0070C0"/>
          <w:sz w:val="24"/>
          <w:szCs w:val="24"/>
        </w:rPr>
      </w:pPr>
    </w:p>
    <w:p w14:paraId="5A123661" w14:textId="77777777" w:rsidR="008054B6" w:rsidRDefault="008054B6" w:rsidP="008054B6">
      <w:pPr>
        <w:pStyle w:val="FootnoteText"/>
      </w:pPr>
      <w:r w:rsidRPr="001F657E">
        <w:t xml:space="preserve">© Copyright 2014 Catholic Relief Services. All rights reserved. This document, or parts thereof, may not be reproduced in any form </w:t>
      </w:r>
      <w:r w:rsidRPr="006F5AD0">
        <w:t>without</w:t>
      </w:r>
      <w:r w:rsidRPr="001F657E">
        <w:t xml:space="preserve"> permission. Contact </w:t>
      </w:r>
      <w:hyperlink r:id="rId8" w:history="1">
        <w:r w:rsidRPr="001F657E">
          <w:rPr>
            <w:rStyle w:val="Hyperlink"/>
          </w:rPr>
          <w:t>pqpublications@crs.org</w:t>
        </w:r>
      </w:hyperlink>
      <w:r w:rsidRPr="001F657E">
        <w:t xml:space="preserve"> for permission. Any “fair use” under U.S. copyright law should contain appropriate citation and attribut</w:t>
      </w:r>
      <w:r>
        <w:t>ion to Catholic Relief Services.</w:t>
      </w:r>
    </w:p>
    <w:p w14:paraId="6C42CF29" w14:textId="77777777" w:rsidR="008054B6" w:rsidRDefault="008054B6" w:rsidP="008054B6">
      <w:pPr>
        <w:spacing w:after="0" w:line="240" w:lineRule="auto"/>
        <w:rPr>
          <w:rFonts w:ascii="Times New Roman" w:hAnsi="Times New Roman" w:cs="Times New Roman"/>
          <w:i/>
          <w:color w:val="0070C0"/>
          <w:sz w:val="24"/>
          <w:szCs w:val="24"/>
        </w:rPr>
      </w:pPr>
    </w:p>
    <w:p w14:paraId="6B313CE5" w14:textId="77777777" w:rsidR="008054B6" w:rsidRDefault="008054B6" w:rsidP="008054B6">
      <w:pPr>
        <w:spacing w:after="0" w:line="240" w:lineRule="auto"/>
        <w:rPr>
          <w:rFonts w:ascii="Times New Roman" w:hAnsi="Times New Roman" w:cs="Times New Roman"/>
          <w:color w:val="0070C0"/>
          <w:sz w:val="24"/>
          <w:szCs w:val="24"/>
        </w:rPr>
      </w:pPr>
    </w:p>
    <w:p w14:paraId="5AFA0591" w14:textId="05D16864" w:rsidR="008054B6" w:rsidRDefault="008054B6" w:rsidP="008054B6">
      <w:pPr>
        <w:spacing w:after="0" w:line="240" w:lineRule="auto"/>
        <w:jc w:val="center"/>
        <w:rPr>
          <w:rFonts w:ascii="Times New Roman" w:hAnsi="Times New Roman" w:cs="Times New Roman"/>
          <w:color w:val="0070C0"/>
          <w:sz w:val="24"/>
          <w:szCs w:val="24"/>
        </w:rPr>
      </w:pPr>
      <w:r>
        <w:rPr>
          <w:rFonts w:ascii="Times New Roman" w:hAnsi="Times New Roman" w:cs="Times New Roman"/>
          <w:noProof/>
          <w:color w:val="0070C0"/>
          <w:sz w:val="24"/>
          <w:szCs w:val="24"/>
          <w:lang w:bidi="ne-NP"/>
        </w:rPr>
        <w:drawing>
          <wp:inline distT="0" distB="0" distL="0" distR="0" wp14:anchorId="4D9E71E2" wp14:editId="0A1BC29C">
            <wp:extent cx="1495444" cy="977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logo 28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7701" cy="979400"/>
                    </a:xfrm>
                    <a:prstGeom prst="rect">
                      <a:avLst/>
                    </a:prstGeom>
                  </pic:spPr>
                </pic:pic>
              </a:graphicData>
            </a:graphic>
          </wp:inline>
        </w:drawing>
      </w:r>
    </w:p>
    <w:p w14:paraId="15240D9C" w14:textId="0C2926F5" w:rsidR="00DF1408" w:rsidRPr="008054B6" w:rsidRDefault="008054B6" w:rsidP="008054B6">
      <w:pPr>
        <w:pStyle w:val="Heading1"/>
        <w:ind w:left="-360"/>
        <w:rPr>
          <w:rFonts w:asciiTheme="minorHAnsi" w:hAnsiTheme="minorHAnsi"/>
          <w:sz w:val="36"/>
        </w:rPr>
      </w:pPr>
      <w:r w:rsidRPr="008054B6">
        <w:rPr>
          <w:rFonts w:asciiTheme="minorHAnsi" w:hAnsiTheme="minorHAnsi"/>
          <w:sz w:val="36"/>
        </w:rPr>
        <w:lastRenderedPageBreak/>
        <w:t>EXECUTIVE SUMMARY</w:t>
      </w:r>
    </w:p>
    <w:p w14:paraId="15AD0F42" w14:textId="3527F8AF" w:rsidR="00E9361E" w:rsidRPr="008054B6" w:rsidRDefault="00DF1408" w:rsidP="008054B6">
      <w:pPr>
        <w:spacing w:after="0" w:line="240" w:lineRule="auto"/>
        <w:ind w:left="-360"/>
        <w:rPr>
          <w:rFonts w:cs="Times New Roman"/>
        </w:rPr>
      </w:pPr>
      <w:r w:rsidRPr="008054B6">
        <w:rPr>
          <w:rFonts w:cs="Times New Roman"/>
        </w:rPr>
        <w:t xml:space="preserve">Beginning in early 2013, CRS implemented a series of </w:t>
      </w:r>
      <w:r w:rsidR="00E9739D" w:rsidRPr="008054B6">
        <w:rPr>
          <w:rFonts w:cs="Times New Roman"/>
        </w:rPr>
        <w:t>food</w:t>
      </w:r>
      <w:r w:rsidR="002F42B0" w:rsidRPr="008054B6">
        <w:rPr>
          <w:rFonts w:cs="Times New Roman"/>
        </w:rPr>
        <w:t xml:space="preserve"> </w:t>
      </w:r>
      <w:r w:rsidR="000D3384" w:rsidRPr="008054B6">
        <w:rPr>
          <w:rFonts w:cs="Times New Roman"/>
        </w:rPr>
        <w:t xml:space="preserve">voucher programs, </w:t>
      </w:r>
      <w:r w:rsidRPr="008054B6">
        <w:rPr>
          <w:rFonts w:cs="Times New Roman"/>
        </w:rPr>
        <w:t>designed to meet the urgent food needs of vulnerable IDP and host households in urban communities</w:t>
      </w:r>
      <w:r w:rsidR="000D3384" w:rsidRPr="008054B6">
        <w:rPr>
          <w:rFonts w:cs="Times New Roman"/>
        </w:rPr>
        <w:t xml:space="preserve">. </w:t>
      </w:r>
      <w:r w:rsidR="001142A4" w:rsidRPr="008054B6">
        <w:rPr>
          <w:rFonts w:cs="Times New Roman"/>
        </w:rPr>
        <w:t xml:space="preserve">The vouchers were unconditional, but restricted to food purchases.  </w:t>
      </w:r>
      <w:r w:rsidR="000D3384" w:rsidRPr="008054B6">
        <w:rPr>
          <w:rFonts w:cs="Times New Roman"/>
        </w:rPr>
        <w:t>The programs</w:t>
      </w:r>
      <w:r w:rsidRPr="008054B6">
        <w:rPr>
          <w:rFonts w:cs="Times New Roman"/>
        </w:rPr>
        <w:t xml:space="preserve"> </w:t>
      </w:r>
      <w:r w:rsidR="000D3384" w:rsidRPr="008054B6">
        <w:rPr>
          <w:rFonts w:cs="Times New Roman"/>
        </w:rPr>
        <w:t>began</w:t>
      </w:r>
      <w:r w:rsidRPr="008054B6">
        <w:rPr>
          <w:rFonts w:cs="Times New Roman"/>
        </w:rPr>
        <w:t xml:space="preserve"> </w:t>
      </w:r>
      <w:r w:rsidR="000D3384" w:rsidRPr="008054B6">
        <w:rPr>
          <w:rFonts w:cs="Times New Roman"/>
        </w:rPr>
        <w:t xml:space="preserve">in Kismayo </w:t>
      </w:r>
      <w:r w:rsidRPr="008054B6">
        <w:rPr>
          <w:rFonts w:cs="Times New Roman"/>
        </w:rPr>
        <w:t>in January 2013</w:t>
      </w:r>
      <w:r w:rsidR="000E2B98" w:rsidRPr="008054B6">
        <w:rPr>
          <w:rFonts w:cs="Times New Roman"/>
        </w:rPr>
        <w:t xml:space="preserve"> (to December 2013)</w:t>
      </w:r>
      <w:r w:rsidRPr="008054B6">
        <w:rPr>
          <w:rFonts w:cs="Times New Roman"/>
        </w:rPr>
        <w:t xml:space="preserve">, Baidoa (February 2014 to August 2014) and Mogadishu (July 2014 to December 2014).  </w:t>
      </w:r>
      <w:r w:rsidR="002F42B0" w:rsidRPr="008054B6">
        <w:rPr>
          <w:rFonts w:cs="Times New Roman"/>
        </w:rPr>
        <w:t xml:space="preserve">While the voucher program focused primarily on increasing food access and improving food security outcomes, CRS noted multiple unanticipated impacts on households, market actors, and communities, </w:t>
      </w:r>
      <w:r w:rsidR="00E9361E" w:rsidRPr="008054B6">
        <w:rPr>
          <w:rFonts w:cs="Times New Roman"/>
        </w:rPr>
        <w:t>demonstrating the wide-reaching potential of</w:t>
      </w:r>
      <w:r w:rsidR="002F42B0" w:rsidRPr="008054B6">
        <w:rPr>
          <w:rFonts w:cs="Times New Roman"/>
        </w:rPr>
        <w:t xml:space="preserve"> </w:t>
      </w:r>
      <w:r w:rsidR="000D3384" w:rsidRPr="008054B6">
        <w:rPr>
          <w:rFonts w:cs="Times New Roman"/>
        </w:rPr>
        <w:t>urban</w:t>
      </w:r>
      <w:r w:rsidR="00E9361E" w:rsidRPr="008054B6">
        <w:rPr>
          <w:rFonts w:cs="Times New Roman"/>
        </w:rPr>
        <w:t xml:space="preserve"> cash-based programming.  </w:t>
      </w:r>
    </w:p>
    <w:p w14:paraId="7F432145" w14:textId="77777777" w:rsidR="00E9361E" w:rsidRPr="008054B6" w:rsidRDefault="00E9361E" w:rsidP="008054B6">
      <w:pPr>
        <w:spacing w:after="0" w:line="240" w:lineRule="auto"/>
        <w:ind w:left="-360"/>
        <w:rPr>
          <w:rFonts w:cs="Times New Roman"/>
        </w:rPr>
      </w:pPr>
    </w:p>
    <w:p w14:paraId="4D604A4E" w14:textId="46869136" w:rsidR="00E9361E" w:rsidRPr="008F12FC" w:rsidRDefault="00E9361E" w:rsidP="008054B6">
      <w:pPr>
        <w:spacing w:after="0" w:line="240" w:lineRule="auto"/>
        <w:ind w:left="-360"/>
        <w:rPr>
          <w:rFonts w:cs="Times New Roman"/>
          <w:b/>
        </w:rPr>
      </w:pPr>
      <w:r w:rsidRPr="008F12FC">
        <w:rPr>
          <w:rStyle w:val="Heading1Char"/>
          <w:rFonts w:asciiTheme="minorHAnsi" w:hAnsiTheme="minorHAnsi"/>
        </w:rPr>
        <w:t>Key Findings</w:t>
      </w:r>
      <w:r w:rsidR="000D3384" w:rsidRPr="008F12FC">
        <w:rPr>
          <w:rFonts w:cs="Times New Roman"/>
          <w:b/>
        </w:rPr>
        <w:t xml:space="preserve"> </w:t>
      </w:r>
      <w:r w:rsidR="000D3384" w:rsidRPr="008F12FC">
        <w:rPr>
          <w:rFonts w:cs="Times New Roman"/>
          <w:color w:val="0070C0"/>
        </w:rPr>
        <w:t>(un</w:t>
      </w:r>
      <w:r w:rsidR="00A14970" w:rsidRPr="008F12FC">
        <w:rPr>
          <w:rFonts w:cs="Times New Roman"/>
          <w:color w:val="0070C0"/>
        </w:rPr>
        <w:t>anticipated impacts)</w:t>
      </w:r>
    </w:p>
    <w:p w14:paraId="020F5E18" w14:textId="4609B15D" w:rsidR="00E9361E" w:rsidRPr="008054B6" w:rsidRDefault="00E9361E" w:rsidP="008054B6">
      <w:pPr>
        <w:spacing w:after="0" w:line="240" w:lineRule="auto"/>
        <w:ind w:left="-360"/>
        <w:rPr>
          <w:rFonts w:cs="Times New Roman"/>
        </w:rPr>
      </w:pPr>
      <w:r w:rsidRPr="008054B6">
        <w:rPr>
          <w:rFonts w:cs="Times New Roman"/>
        </w:rPr>
        <w:t>The case study highlights several key findings that are applicable as learning opportunities, as well as for consideration in the urban food security sector.  Some of the most important findings include:</w:t>
      </w:r>
    </w:p>
    <w:p w14:paraId="71AAF1C3" w14:textId="23DE3DEE" w:rsidR="00E9361E" w:rsidRPr="008054B6" w:rsidRDefault="00E9361E" w:rsidP="008054B6">
      <w:pPr>
        <w:pStyle w:val="ListParagraph"/>
        <w:numPr>
          <w:ilvl w:val="0"/>
          <w:numId w:val="44"/>
        </w:numPr>
        <w:spacing w:after="0" w:line="240" w:lineRule="auto"/>
        <w:ind w:left="-90" w:hanging="270"/>
        <w:rPr>
          <w:rFonts w:cs="Times New Roman"/>
        </w:rPr>
      </w:pPr>
      <w:r w:rsidRPr="008054B6">
        <w:rPr>
          <w:rFonts w:cs="Times New Roman"/>
        </w:rPr>
        <w:t>Urban food vouchers offer substantive opportunities for vendors to increase</w:t>
      </w:r>
      <w:r w:rsidR="00E9739D" w:rsidRPr="008054B6">
        <w:rPr>
          <w:rFonts w:cs="Times New Roman"/>
        </w:rPr>
        <w:t xml:space="preserve"> basic skills such as literacy and </w:t>
      </w:r>
      <w:r w:rsidRPr="008054B6">
        <w:rPr>
          <w:rFonts w:cs="Times New Roman"/>
        </w:rPr>
        <w:t>nu</w:t>
      </w:r>
      <w:r w:rsidR="00E9739D" w:rsidRPr="008054B6">
        <w:rPr>
          <w:rFonts w:cs="Times New Roman"/>
        </w:rPr>
        <w:t xml:space="preserve">meracy; access </w:t>
      </w:r>
      <w:r w:rsidRPr="008054B6">
        <w:rPr>
          <w:rFonts w:cs="Times New Roman"/>
        </w:rPr>
        <w:t>formalized banking</w:t>
      </w:r>
      <w:r w:rsidR="00F54057" w:rsidRPr="008054B6">
        <w:rPr>
          <w:rFonts w:cs="Times New Roman"/>
        </w:rPr>
        <w:t>/</w:t>
      </w:r>
      <w:r w:rsidR="00E9739D" w:rsidRPr="008054B6">
        <w:rPr>
          <w:rFonts w:cs="Times New Roman"/>
        </w:rPr>
        <w:t xml:space="preserve"> business planning;</w:t>
      </w:r>
      <w:r w:rsidRPr="008054B6">
        <w:rPr>
          <w:rFonts w:cs="Times New Roman"/>
        </w:rPr>
        <w:t xml:space="preserve"> </w:t>
      </w:r>
      <w:r w:rsidR="00E9739D" w:rsidRPr="008054B6">
        <w:rPr>
          <w:rFonts w:cs="Times New Roman"/>
        </w:rPr>
        <w:t>expand their economic opportunity;</w:t>
      </w:r>
      <w:r w:rsidRPr="008054B6">
        <w:rPr>
          <w:rFonts w:cs="Times New Roman"/>
        </w:rPr>
        <w:t xml:space="preserve"> support </w:t>
      </w:r>
      <w:r w:rsidR="00E9739D" w:rsidRPr="008054B6">
        <w:rPr>
          <w:rFonts w:cs="Times New Roman"/>
        </w:rPr>
        <w:t>local labor opportunities;</w:t>
      </w:r>
      <w:r w:rsidRPr="008054B6">
        <w:rPr>
          <w:rFonts w:cs="Times New Roman"/>
        </w:rPr>
        <w:t xml:space="preserve"> </w:t>
      </w:r>
      <w:r w:rsidR="00A14970" w:rsidRPr="008054B6">
        <w:rPr>
          <w:rFonts w:cs="Times New Roman"/>
        </w:rPr>
        <w:t>and build stronger relationships with each other, with the community, and with</w:t>
      </w:r>
      <w:r w:rsidR="00F54057" w:rsidRPr="008054B6">
        <w:rPr>
          <w:rFonts w:cs="Times New Roman"/>
        </w:rPr>
        <w:t xml:space="preserve"> other market</w:t>
      </w:r>
      <w:r w:rsidR="00A14970" w:rsidRPr="008054B6">
        <w:rPr>
          <w:rFonts w:cs="Times New Roman"/>
        </w:rPr>
        <w:t xml:space="preserve"> actors.</w:t>
      </w:r>
    </w:p>
    <w:p w14:paraId="02AFA563" w14:textId="400D31BF" w:rsidR="00A14970" w:rsidRPr="008054B6" w:rsidRDefault="00E9739D" w:rsidP="008054B6">
      <w:pPr>
        <w:pStyle w:val="ListParagraph"/>
        <w:numPr>
          <w:ilvl w:val="0"/>
          <w:numId w:val="44"/>
        </w:numPr>
        <w:spacing w:after="0" w:line="240" w:lineRule="auto"/>
        <w:ind w:left="-90" w:hanging="270"/>
        <w:rPr>
          <w:rFonts w:cs="Times New Roman"/>
        </w:rPr>
      </w:pPr>
      <w:r w:rsidRPr="008054B6">
        <w:rPr>
          <w:rFonts w:cs="Times New Roman"/>
        </w:rPr>
        <w:t xml:space="preserve">Unconditional, </w:t>
      </w:r>
      <w:r w:rsidR="00A14970" w:rsidRPr="008054B6">
        <w:rPr>
          <w:rFonts w:cs="Times New Roman"/>
        </w:rPr>
        <w:t>restricted food vouchers are well-suited to the unpredictable security context of urban hubs in Somalia, as they reduce logistical burdens on staff, reduce visibility of food aid, and allow household choice.</w:t>
      </w:r>
    </w:p>
    <w:p w14:paraId="0C60F93B" w14:textId="23FFB562" w:rsidR="00A14970" w:rsidRPr="008054B6" w:rsidRDefault="00A14970" w:rsidP="008054B6">
      <w:pPr>
        <w:pStyle w:val="ListParagraph"/>
        <w:numPr>
          <w:ilvl w:val="0"/>
          <w:numId w:val="44"/>
        </w:numPr>
        <w:spacing w:after="0" w:line="240" w:lineRule="auto"/>
        <w:ind w:left="-90" w:hanging="270"/>
        <w:rPr>
          <w:rFonts w:cs="Times New Roman"/>
        </w:rPr>
      </w:pPr>
      <w:r w:rsidRPr="008054B6">
        <w:rPr>
          <w:rFonts w:cs="Times New Roman"/>
        </w:rPr>
        <w:t>Food vouchers improve household relationships and reduce labor burden on household memb</w:t>
      </w:r>
      <w:r w:rsidR="00E9739D" w:rsidRPr="008054B6">
        <w:rPr>
          <w:rFonts w:cs="Times New Roman"/>
        </w:rPr>
        <w:t>ers, including children.  Reduced</w:t>
      </w:r>
      <w:r w:rsidRPr="008054B6">
        <w:rPr>
          <w:rFonts w:cs="Times New Roman"/>
        </w:rPr>
        <w:t xml:space="preserve"> need for immediate cash also eases tensions within the household, and minimizes the need for women and chil</w:t>
      </w:r>
      <w:r w:rsidR="00E9739D" w:rsidRPr="008054B6">
        <w:rPr>
          <w:rFonts w:cs="Times New Roman"/>
        </w:rPr>
        <w:t>dren to participate in socially-</w:t>
      </w:r>
      <w:r w:rsidRPr="008054B6">
        <w:rPr>
          <w:rFonts w:cs="Times New Roman"/>
        </w:rPr>
        <w:t>unacceptable inc</w:t>
      </w:r>
      <w:r w:rsidR="00E9739D" w:rsidRPr="008054B6">
        <w:rPr>
          <w:rFonts w:cs="Times New Roman"/>
        </w:rPr>
        <w:t>ome-</w:t>
      </w:r>
      <w:r w:rsidRPr="008054B6">
        <w:rPr>
          <w:rFonts w:cs="Times New Roman"/>
        </w:rPr>
        <w:t>earning opportunities to support food needs.  Food vouchers can replace the role of</w:t>
      </w:r>
      <w:r w:rsidR="007C02DD" w:rsidRPr="008054B6">
        <w:rPr>
          <w:rFonts w:cs="Times New Roman"/>
        </w:rPr>
        <w:t xml:space="preserve"> </w:t>
      </w:r>
      <w:r w:rsidR="0011399F" w:rsidRPr="008054B6">
        <w:rPr>
          <w:rFonts w:cs="Times New Roman"/>
        </w:rPr>
        <w:t xml:space="preserve">absent or inconsistent </w:t>
      </w:r>
      <w:r w:rsidR="00E9739D" w:rsidRPr="008054B6">
        <w:rPr>
          <w:rFonts w:cs="Times New Roman"/>
        </w:rPr>
        <w:t>breadwinners in</w:t>
      </w:r>
      <w:r w:rsidR="00F54057" w:rsidRPr="008054B6">
        <w:rPr>
          <w:rFonts w:cs="Times New Roman"/>
        </w:rPr>
        <w:t xml:space="preserve"> food insecure </w:t>
      </w:r>
      <w:r w:rsidRPr="008054B6">
        <w:rPr>
          <w:rFonts w:cs="Times New Roman"/>
        </w:rPr>
        <w:t>households</w:t>
      </w:r>
      <w:r w:rsidR="00F54057" w:rsidRPr="008054B6">
        <w:rPr>
          <w:rFonts w:cs="Times New Roman"/>
        </w:rPr>
        <w:t>.</w:t>
      </w:r>
    </w:p>
    <w:p w14:paraId="731B85F8" w14:textId="24C8302E" w:rsidR="00A14970" w:rsidRPr="008054B6" w:rsidRDefault="00A14970" w:rsidP="008054B6">
      <w:pPr>
        <w:pStyle w:val="ListParagraph"/>
        <w:numPr>
          <w:ilvl w:val="0"/>
          <w:numId w:val="44"/>
        </w:numPr>
        <w:spacing w:after="0" w:line="240" w:lineRule="auto"/>
        <w:ind w:left="-90" w:hanging="270"/>
        <w:rPr>
          <w:rFonts w:cs="Times New Roman"/>
        </w:rPr>
      </w:pPr>
      <w:r w:rsidRPr="008054B6">
        <w:rPr>
          <w:rFonts w:cs="Times New Roman"/>
        </w:rPr>
        <w:t>Household debt management is facilitated by food vouchers, and ha</w:t>
      </w:r>
      <w:r w:rsidR="007C02DD" w:rsidRPr="008054B6">
        <w:rPr>
          <w:rFonts w:cs="Times New Roman"/>
        </w:rPr>
        <w:t>s</w:t>
      </w:r>
      <w:r w:rsidRPr="008054B6">
        <w:rPr>
          <w:rFonts w:cs="Times New Roman"/>
        </w:rPr>
        <w:t xml:space="preserve"> a demonstrated impact of reducing and/or halting acquired debt among beneficiary households</w:t>
      </w:r>
      <w:r w:rsidR="005F01DB" w:rsidRPr="008054B6">
        <w:rPr>
          <w:rFonts w:cs="Times New Roman"/>
        </w:rPr>
        <w:t>.</w:t>
      </w:r>
    </w:p>
    <w:p w14:paraId="5718754B" w14:textId="5639FBE2" w:rsidR="00A14970" w:rsidRPr="008054B6" w:rsidRDefault="00A14970" w:rsidP="008054B6">
      <w:pPr>
        <w:pStyle w:val="ListParagraph"/>
        <w:numPr>
          <w:ilvl w:val="0"/>
          <w:numId w:val="44"/>
        </w:numPr>
        <w:spacing w:after="0" w:line="240" w:lineRule="auto"/>
        <w:ind w:left="-90" w:hanging="270"/>
        <w:rPr>
          <w:rFonts w:cs="Times New Roman"/>
        </w:rPr>
      </w:pPr>
      <w:r w:rsidRPr="008054B6">
        <w:rPr>
          <w:rFonts w:cs="Times New Roman"/>
        </w:rPr>
        <w:t xml:space="preserve">Household economy and resource-based decision making is influenced by the use of vouchers to obtain basic food </w:t>
      </w:r>
      <w:r w:rsidR="00E9739D" w:rsidRPr="008054B6">
        <w:rPr>
          <w:rFonts w:cs="Times New Roman"/>
        </w:rPr>
        <w:t>items</w:t>
      </w:r>
      <w:r w:rsidRPr="008054B6">
        <w:rPr>
          <w:rFonts w:cs="Times New Roman"/>
        </w:rPr>
        <w:t xml:space="preserve">.  </w:t>
      </w:r>
      <w:r w:rsidR="005F01DB" w:rsidRPr="008054B6">
        <w:rPr>
          <w:rFonts w:cs="Times New Roman"/>
        </w:rPr>
        <w:t xml:space="preserve">Though </w:t>
      </w:r>
      <w:r w:rsidRPr="008054B6">
        <w:rPr>
          <w:rFonts w:cs="Times New Roman"/>
        </w:rPr>
        <w:t>households receiv</w:t>
      </w:r>
      <w:r w:rsidR="005F01DB" w:rsidRPr="008054B6">
        <w:rPr>
          <w:rFonts w:cs="Times New Roman"/>
        </w:rPr>
        <w:t>ed</w:t>
      </w:r>
      <w:r w:rsidRPr="008054B6">
        <w:rPr>
          <w:rFonts w:cs="Times New Roman"/>
        </w:rPr>
        <w:t xml:space="preserve"> </w:t>
      </w:r>
      <w:r w:rsidR="00E9739D" w:rsidRPr="008054B6">
        <w:rPr>
          <w:rFonts w:cs="Times New Roman"/>
        </w:rPr>
        <w:t xml:space="preserve">assistance to meet </w:t>
      </w:r>
      <w:r w:rsidR="005F01DB" w:rsidRPr="008054B6">
        <w:rPr>
          <w:rFonts w:cs="Times New Roman"/>
        </w:rPr>
        <w:t>just</w:t>
      </w:r>
      <w:r w:rsidR="00E9739D" w:rsidRPr="008054B6">
        <w:rPr>
          <w:rFonts w:cs="Times New Roman"/>
        </w:rPr>
        <w:t xml:space="preserve"> </w:t>
      </w:r>
      <w:r w:rsidRPr="008054B6">
        <w:rPr>
          <w:rFonts w:cs="Times New Roman"/>
        </w:rPr>
        <w:t>50 percent of their needs, funds “freed up” by voucher programs are used for schooling and education, debt repayment, startup of hous</w:t>
      </w:r>
      <w:r w:rsidR="00F54057" w:rsidRPr="008054B6">
        <w:rPr>
          <w:rFonts w:cs="Times New Roman"/>
        </w:rPr>
        <w:t>ehold businesses, and medical needs</w:t>
      </w:r>
      <w:r w:rsidRPr="008054B6">
        <w:rPr>
          <w:rFonts w:cs="Times New Roman"/>
        </w:rPr>
        <w:t xml:space="preserve">. </w:t>
      </w:r>
    </w:p>
    <w:p w14:paraId="648F7FD6" w14:textId="4A628A17" w:rsidR="00A14970" w:rsidRPr="008054B6" w:rsidRDefault="00A14970" w:rsidP="008054B6">
      <w:pPr>
        <w:pStyle w:val="ListParagraph"/>
        <w:numPr>
          <w:ilvl w:val="0"/>
          <w:numId w:val="44"/>
        </w:numPr>
        <w:spacing w:after="0" w:line="240" w:lineRule="auto"/>
        <w:ind w:left="-90" w:hanging="270"/>
        <w:rPr>
          <w:rFonts w:cs="Times New Roman"/>
        </w:rPr>
      </w:pPr>
      <w:r w:rsidRPr="008054B6">
        <w:rPr>
          <w:rFonts w:cs="Times New Roman"/>
        </w:rPr>
        <w:t>Urban communities receiving food vouchers may experience reduced social tensions; in the case of Somalia, conflict and tension between IDP and host community groups was dramatically reduced.</w:t>
      </w:r>
    </w:p>
    <w:p w14:paraId="62CDA004" w14:textId="47A287A7" w:rsidR="002F42B0" w:rsidRPr="008054B6" w:rsidRDefault="00A14970" w:rsidP="008054B6">
      <w:pPr>
        <w:pStyle w:val="ListParagraph"/>
        <w:numPr>
          <w:ilvl w:val="0"/>
          <w:numId w:val="44"/>
        </w:numPr>
        <w:spacing w:after="0" w:line="240" w:lineRule="auto"/>
        <w:ind w:left="-90" w:hanging="270"/>
        <w:rPr>
          <w:rFonts w:cs="Times New Roman"/>
        </w:rPr>
      </w:pPr>
      <w:r w:rsidRPr="008054B6">
        <w:rPr>
          <w:rFonts w:cs="Times New Roman"/>
        </w:rPr>
        <w:t xml:space="preserve">Food assistance delivered through vouchers </w:t>
      </w:r>
      <w:r w:rsidR="00B84D0A" w:rsidRPr="008054B6">
        <w:rPr>
          <w:rFonts w:cs="Times New Roman"/>
        </w:rPr>
        <w:t>can benefit from</w:t>
      </w:r>
      <w:r w:rsidRPr="008054B6">
        <w:rPr>
          <w:rFonts w:cs="Times New Roman"/>
        </w:rPr>
        <w:t xml:space="preserve"> </w:t>
      </w:r>
      <w:r w:rsidR="00E9739D" w:rsidRPr="008054B6">
        <w:rPr>
          <w:rFonts w:cs="Times New Roman"/>
        </w:rPr>
        <w:t xml:space="preserve">community solidarity and existing safety </w:t>
      </w:r>
      <w:r w:rsidRPr="008054B6">
        <w:rPr>
          <w:rFonts w:cs="Times New Roman"/>
        </w:rPr>
        <w:t xml:space="preserve">nets, resulting in household sharing of food resources to the benefit of other vulnerable families; therefore, the impact of the voucher on reducing acute food insecurity </w:t>
      </w:r>
      <w:r w:rsidR="00E9739D" w:rsidRPr="008054B6">
        <w:rPr>
          <w:rFonts w:cs="Times New Roman"/>
        </w:rPr>
        <w:t>for</w:t>
      </w:r>
      <w:r w:rsidRPr="008054B6">
        <w:rPr>
          <w:rFonts w:cs="Times New Roman"/>
        </w:rPr>
        <w:t xml:space="preserve"> non-beneficiaries is noteworthy.</w:t>
      </w:r>
    </w:p>
    <w:p w14:paraId="208DB12C" w14:textId="73A691E2" w:rsidR="00DF1408" w:rsidRPr="008F12FC" w:rsidRDefault="00A14970" w:rsidP="008F12FC">
      <w:pPr>
        <w:pStyle w:val="Heading1"/>
        <w:tabs>
          <w:tab w:val="left" w:pos="2649"/>
        </w:tabs>
        <w:ind w:left="-360"/>
        <w:rPr>
          <w:rFonts w:asciiTheme="minorHAnsi" w:hAnsiTheme="minorHAnsi"/>
        </w:rPr>
      </w:pPr>
      <w:r w:rsidRPr="008F12FC">
        <w:rPr>
          <w:rFonts w:asciiTheme="minorHAnsi" w:hAnsiTheme="minorHAnsi"/>
        </w:rPr>
        <w:t>Key Recommendations</w:t>
      </w:r>
      <w:r w:rsidR="008F12FC" w:rsidRPr="008F12FC">
        <w:rPr>
          <w:rFonts w:asciiTheme="minorHAnsi" w:hAnsiTheme="minorHAnsi"/>
        </w:rPr>
        <w:tab/>
      </w:r>
    </w:p>
    <w:p w14:paraId="09E5DABB" w14:textId="52294AF3" w:rsidR="00B84D0A" w:rsidRPr="008054B6" w:rsidRDefault="00B84D0A" w:rsidP="008054B6">
      <w:pPr>
        <w:pStyle w:val="ListParagraph"/>
        <w:numPr>
          <w:ilvl w:val="0"/>
          <w:numId w:val="45"/>
        </w:numPr>
        <w:spacing w:after="0" w:line="240" w:lineRule="auto"/>
        <w:ind w:left="-180" w:hanging="180"/>
        <w:rPr>
          <w:rFonts w:cs="Times New Roman"/>
          <w:b/>
        </w:rPr>
      </w:pPr>
      <w:r w:rsidRPr="008054B6">
        <w:rPr>
          <w:rFonts w:cs="Times New Roman"/>
          <w:b/>
        </w:rPr>
        <w:t>Where literacy, vendor financial management capacity, or logistics are constraints</w:t>
      </w:r>
      <w:r w:rsidRPr="008054B6">
        <w:rPr>
          <w:rFonts w:cs="Times New Roman"/>
        </w:rPr>
        <w:t xml:space="preserve">, </w:t>
      </w:r>
      <w:r w:rsidRPr="008054B6">
        <w:rPr>
          <w:rFonts w:cs="Times New Roman"/>
          <w:b/>
        </w:rPr>
        <w:t xml:space="preserve">unconditional, restricted vouchers (or possibly cash) </w:t>
      </w:r>
      <w:r w:rsidR="00A56F23" w:rsidRPr="008054B6">
        <w:rPr>
          <w:rFonts w:cs="Times New Roman"/>
          <w:b/>
        </w:rPr>
        <w:t>may be</w:t>
      </w:r>
      <w:r w:rsidRPr="008054B6">
        <w:rPr>
          <w:rFonts w:cs="Times New Roman"/>
          <w:b/>
        </w:rPr>
        <w:t xml:space="preserve"> appropriate modalities for food assistance. </w:t>
      </w:r>
      <w:r w:rsidRPr="008054B6">
        <w:rPr>
          <w:rFonts w:cs="Times New Roman"/>
        </w:rPr>
        <w:t xml:space="preserve"> The CRS team modified its program modality along the way in response to identified constraints; this enabled beneficiaries, vendors, and staff to participate in safe, transparent and accountable programs in a complex </w:t>
      </w:r>
      <w:r w:rsidR="00A56F23" w:rsidRPr="008054B6">
        <w:rPr>
          <w:rFonts w:cs="Times New Roman"/>
        </w:rPr>
        <w:t>setting</w:t>
      </w:r>
      <w:r w:rsidRPr="008054B6">
        <w:rPr>
          <w:rFonts w:cs="Times New Roman"/>
        </w:rPr>
        <w:t>.</w:t>
      </w:r>
    </w:p>
    <w:p w14:paraId="3D1FD3D9" w14:textId="55E29176" w:rsidR="00F54057" w:rsidRPr="008054B6" w:rsidRDefault="00F54057" w:rsidP="008054B6">
      <w:pPr>
        <w:pStyle w:val="ListParagraph"/>
        <w:numPr>
          <w:ilvl w:val="0"/>
          <w:numId w:val="45"/>
        </w:numPr>
        <w:spacing w:after="0" w:line="240" w:lineRule="auto"/>
        <w:ind w:left="-180" w:hanging="180"/>
        <w:rPr>
          <w:rFonts w:cs="Times New Roman"/>
          <w:b/>
        </w:rPr>
      </w:pPr>
      <w:r w:rsidRPr="008054B6">
        <w:rPr>
          <w:rFonts w:cs="Times New Roman"/>
          <w:b/>
        </w:rPr>
        <w:t xml:space="preserve">Security risk </w:t>
      </w:r>
      <w:r w:rsidR="00BA3A64" w:rsidRPr="008054B6">
        <w:rPr>
          <w:rFonts w:cs="Times New Roman"/>
          <w:b/>
        </w:rPr>
        <w:t>can</w:t>
      </w:r>
      <w:r w:rsidRPr="008054B6">
        <w:rPr>
          <w:rFonts w:cs="Times New Roman"/>
          <w:b/>
        </w:rPr>
        <w:t xml:space="preserve"> be reduced by adjusting voucher distribution and redemption cycles according to the context.</w:t>
      </w:r>
      <w:r w:rsidRPr="008054B6">
        <w:rPr>
          <w:rFonts w:cs="Times New Roman"/>
        </w:rPr>
        <w:t xml:space="preserve">  Programs should avoid the risk of crowding and unrest or frustration within the proximity of </w:t>
      </w:r>
      <w:r w:rsidRPr="008054B6">
        <w:rPr>
          <w:rFonts w:cs="Times New Roman"/>
        </w:rPr>
        <w:lastRenderedPageBreak/>
        <w:t xml:space="preserve">project offices or vendor locations </w:t>
      </w:r>
      <w:r w:rsidR="00BA3A64" w:rsidRPr="008054B6">
        <w:rPr>
          <w:rFonts w:cs="Times New Roman"/>
        </w:rPr>
        <w:t xml:space="preserve">by ensuring well- established and </w:t>
      </w:r>
      <w:r w:rsidRPr="008054B6">
        <w:rPr>
          <w:rFonts w:cs="Times New Roman"/>
        </w:rPr>
        <w:t xml:space="preserve">communicated time periods for the collection and use of vouchers.  </w:t>
      </w:r>
    </w:p>
    <w:p w14:paraId="4F527E58" w14:textId="2EED0C9C" w:rsidR="00B84D0A" w:rsidRPr="008054B6" w:rsidRDefault="00B84D0A" w:rsidP="008054B6">
      <w:pPr>
        <w:pStyle w:val="ListParagraph"/>
        <w:numPr>
          <w:ilvl w:val="0"/>
          <w:numId w:val="45"/>
        </w:numPr>
        <w:spacing w:after="0" w:line="240" w:lineRule="auto"/>
        <w:ind w:left="-180" w:hanging="180"/>
        <w:rPr>
          <w:rFonts w:cs="Times New Roman"/>
        </w:rPr>
      </w:pPr>
      <w:r w:rsidRPr="008054B6">
        <w:rPr>
          <w:rFonts w:cs="Times New Roman"/>
          <w:b/>
        </w:rPr>
        <w:t>Actors should anticipate community safety net and social solidarity systems</w:t>
      </w:r>
      <w:r w:rsidRPr="008054B6">
        <w:rPr>
          <w:rFonts w:cs="Times New Roman"/>
        </w:rPr>
        <w:t xml:space="preserve"> in targeting and voucher allocations, as these are important indigenous coping strategies for food security.</w:t>
      </w:r>
      <w:r w:rsidR="00A56F23" w:rsidRPr="008054B6">
        <w:rPr>
          <w:rFonts w:cs="Times New Roman"/>
        </w:rPr>
        <w:t xml:space="preserve"> </w:t>
      </w:r>
    </w:p>
    <w:p w14:paraId="010F2299" w14:textId="77777777" w:rsidR="00B84D0A" w:rsidRPr="008054B6" w:rsidRDefault="00B84D0A" w:rsidP="008054B6">
      <w:pPr>
        <w:pStyle w:val="ListParagraph"/>
        <w:numPr>
          <w:ilvl w:val="0"/>
          <w:numId w:val="45"/>
        </w:numPr>
        <w:spacing w:after="0" w:line="240" w:lineRule="auto"/>
        <w:ind w:left="-180" w:hanging="180"/>
        <w:rPr>
          <w:rFonts w:cs="Times New Roman"/>
        </w:rPr>
      </w:pPr>
      <w:r w:rsidRPr="008054B6">
        <w:rPr>
          <w:rFonts w:cs="Times New Roman"/>
          <w:b/>
        </w:rPr>
        <w:t>Program monitoring systems should consider unintended and wider “ripple effects”</w:t>
      </w:r>
      <w:r w:rsidRPr="008054B6">
        <w:rPr>
          <w:rFonts w:cs="Times New Roman"/>
        </w:rPr>
        <w:t xml:space="preserve"> of vouchers on households, market actors, and the community at large.</w:t>
      </w:r>
    </w:p>
    <w:p w14:paraId="232AD937" w14:textId="77777777" w:rsidR="00DF1408" w:rsidRPr="008054B6" w:rsidRDefault="00DF1408" w:rsidP="008054B6">
      <w:pPr>
        <w:pStyle w:val="ListParagraph"/>
        <w:shd w:val="clear" w:color="auto" w:fill="FFFFFF" w:themeFill="background1"/>
        <w:spacing w:after="0" w:line="240" w:lineRule="auto"/>
        <w:ind w:left="0"/>
        <w:rPr>
          <w:rFonts w:cs="Times New Roman"/>
        </w:rPr>
      </w:pPr>
    </w:p>
    <w:p w14:paraId="5FB93356" w14:textId="5A65407E" w:rsidR="00F54057" w:rsidRDefault="00F54057" w:rsidP="008054B6">
      <w:pPr>
        <w:spacing w:after="0" w:line="240" w:lineRule="auto"/>
        <w:contextualSpacing/>
        <w:rPr>
          <w:rFonts w:cs="Times New Roman"/>
        </w:rPr>
      </w:pPr>
      <w:r w:rsidRPr="008054B6">
        <w:rPr>
          <w:rFonts w:cs="Times New Roman"/>
        </w:rPr>
        <w:t>A review of the urban voucher program demonstrates that cash-based food security programs impact not only food security outcomes at the household level, but have a reverberating effect on household economy, local market actors, an</w:t>
      </w:r>
      <w:r w:rsidR="001142A4" w:rsidRPr="008054B6">
        <w:rPr>
          <w:rFonts w:cs="Times New Roman"/>
        </w:rPr>
        <w:t xml:space="preserve">d community relationships.  This </w:t>
      </w:r>
      <w:r w:rsidRPr="008054B6">
        <w:rPr>
          <w:rFonts w:cs="Times New Roman"/>
        </w:rPr>
        <w:t xml:space="preserve">case study demonstrates the appropriateness of </w:t>
      </w:r>
      <w:r w:rsidR="00B84D0A" w:rsidRPr="008054B6">
        <w:rPr>
          <w:rFonts w:cs="Times New Roman"/>
        </w:rPr>
        <w:t>a cash-based approach</w:t>
      </w:r>
      <w:r w:rsidRPr="008054B6">
        <w:rPr>
          <w:rFonts w:cs="Times New Roman"/>
        </w:rPr>
        <w:t xml:space="preserve"> as a means of providing food assistance in insecure environments, and how the infusion of cash can support household relationships, school attendance, personal safety and health, formalization of market sectors and increased community cohesion.  Catholic Relief Services asserts that interventions such as the Somalia Food Assistance Voucher program point to the use of cash as an efficient means of addressing multiple humanitarian and recovery-oriented objectives through a streamlined activity. </w:t>
      </w:r>
    </w:p>
    <w:p w14:paraId="13E76BB8" w14:textId="77777777" w:rsidR="008054B6" w:rsidRDefault="008054B6" w:rsidP="008054B6">
      <w:pPr>
        <w:spacing w:after="0" w:line="240" w:lineRule="auto"/>
        <w:contextualSpacing/>
        <w:rPr>
          <w:rFonts w:cs="Times New Roman"/>
        </w:rPr>
      </w:pPr>
    </w:p>
    <w:p w14:paraId="301C3069" w14:textId="4479F952" w:rsidR="008054B6" w:rsidRDefault="008054B6">
      <w:pPr>
        <w:rPr>
          <w:rFonts w:cs="Times New Roman"/>
        </w:rPr>
      </w:pPr>
      <w:r>
        <w:rPr>
          <w:rFonts w:cs="Times New Roman"/>
        </w:rPr>
        <w:br w:type="page"/>
      </w:r>
    </w:p>
    <w:p w14:paraId="165E9C14" w14:textId="46966436" w:rsidR="008054B6" w:rsidRPr="008054B6" w:rsidRDefault="008054B6" w:rsidP="008054B6">
      <w:pPr>
        <w:pStyle w:val="Heading1"/>
        <w:rPr>
          <w:rFonts w:asciiTheme="minorHAnsi" w:hAnsiTheme="minorHAnsi"/>
          <w:szCs w:val="22"/>
        </w:rPr>
      </w:pPr>
      <w:r w:rsidRPr="008054B6">
        <w:rPr>
          <w:rFonts w:asciiTheme="minorHAnsi" w:hAnsiTheme="minorHAnsi"/>
          <w:sz w:val="36"/>
        </w:rPr>
        <w:lastRenderedPageBreak/>
        <w:t>INTRODUCTION</w:t>
      </w:r>
    </w:p>
    <w:p w14:paraId="5709837A" w14:textId="77777777" w:rsidR="005F01DB" w:rsidRPr="008054B6" w:rsidRDefault="005F01DB" w:rsidP="008054B6">
      <w:pPr>
        <w:spacing w:after="0" w:line="240" w:lineRule="auto"/>
        <w:contextualSpacing/>
        <w:rPr>
          <w:rFonts w:cs="Times New Roman"/>
        </w:rPr>
      </w:pPr>
    </w:p>
    <w:p w14:paraId="7C39EE9E" w14:textId="08AD35E9" w:rsidR="00C72871" w:rsidRPr="008054B6" w:rsidRDefault="000E430D" w:rsidP="008054B6">
      <w:pPr>
        <w:spacing w:after="0" w:line="240" w:lineRule="auto"/>
        <w:rPr>
          <w:rFonts w:cs="Times New Roman"/>
          <w:i/>
        </w:rPr>
      </w:pPr>
      <w:r w:rsidRPr="008054B6">
        <w:rPr>
          <w:rFonts w:cs="Times New Roman"/>
          <w:i/>
        </w:rPr>
        <w:t>Project Background</w:t>
      </w:r>
      <w:r w:rsidR="00DF2318" w:rsidRPr="008054B6">
        <w:rPr>
          <w:rFonts w:cs="Times New Roman"/>
          <w:i/>
        </w:rPr>
        <w:t xml:space="preserve"> and Context</w:t>
      </w:r>
    </w:p>
    <w:tbl>
      <w:tblPr>
        <w:tblStyle w:val="TableGrid"/>
        <w:tblpPr w:leftFromText="180" w:rightFromText="180" w:vertAnchor="text" w:tblpXSpec="right" w:tblpY="31"/>
        <w:tblOverlap w:val="nev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tblGrid>
      <w:tr w:rsidR="00FD7861" w:rsidRPr="008054B6" w14:paraId="179760EB" w14:textId="77777777" w:rsidTr="00E5354C">
        <w:tc>
          <w:tcPr>
            <w:tcW w:w="5258" w:type="dxa"/>
          </w:tcPr>
          <w:p w14:paraId="3F9022E4" w14:textId="77777777" w:rsidR="00FD7861" w:rsidRPr="008054B6" w:rsidRDefault="00FD7861" w:rsidP="008054B6">
            <w:pPr>
              <w:rPr>
                <w:rFonts w:cs="Times New Roman"/>
                <w:b/>
              </w:rPr>
            </w:pPr>
            <w:r w:rsidRPr="008054B6">
              <w:rPr>
                <w:rFonts w:cs="Times New Roman"/>
                <w:b/>
              </w:rPr>
              <w:t>Figure 1. Map of Somalia and Project Cities</w:t>
            </w:r>
          </w:p>
        </w:tc>
      </w:tr>
      <w:tr w:rsidR="00FD7861" w:rsidRPr="008054B6" w14:paraId="016788DC" w14:textId="77777777" w:rsidTr="00E5354C">
        <w:tc>
          <w:tcPr>
            <w:tcW w:w="5258" w:type="dxa"/>
          </w:tcPr>
          <w:p w14:paraId="256DD3EA" w14:textId="3DBAA9F7" w:rsidR="00FD7861" w:rsidRPr="008054B6" w:rsidRDefault="0011399F" w:rsidP="008054B6">
            <w:pPr>
              <w:rPr>
                <w:rFonts w:cs="Times New Roman"/>
              </w:rPr>
            </w:pPr>
            <w:r w:rsidRPr="008054B6">
              <w:rPr>
                <w:rFonts w:cs="Helvetica"/>
                <w:noProof/>
                <w:lang w:bidi="ne-NP"/>
              </w:rPr>
              <mc:AlternateContent>
                <mc:Choice Requires="wps">
                  <w:drawing>
                    <wp:anchor distT="0" distB="0" distL="114300" distR="114300" simplePos="0" relativeHeight="251664896" behindDoc="0" locked="0" layoutInCell="1" allowOverlap="1" wp14:anchorId="1D3A101F" wp14:editId="559EBBF1">
                      <wp:simplePos x="0" y="0"/>
                      <wp:positionH relativeFrom="column">
                        <wp:posOffset>728980</wp:posOffset>
                      </wp:positionH>
                      <wp:positionV relativeFrom="paragraph">
                        <wp:posOffset>3256915</wp:posOffset>
                      </wp:positionV>
                      <wp:extent cx="142875" cy="152400"/>
                      <wp:effectExtent l="38100" t="38100" r="28575" b="57150"/>
                      <wp:wrapNone/>
                      <wp:docPr id="5" name="Explosion 1 5"/>
                      <wp:cNvGraphicFramePr/>
                      <a:graphic xmlns:a="http://schemas.openxmlformats.org/drawingml/2006/main">
                        <a:graphicData uri="http://schemas.microsoft.com/office/word/2010/wordprocessingShape">
                          <wps:wsp>
                            <wps:cNvSpPr/>
                            <wps:spPr>
                              <a:xfrm>
                                <a:off x="0" y="0"/>
                                <a:ext cx="142875" cy="152400"/>
                              </a:xfrm>
                              <a:prstGeom prst="irregularSeal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C405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6" type="#_x0000_t71" style="position:absolute;margin-left:57.4pt;margin-top:256.45pt;width:11.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" fillcolor="red" strokecolor="red" strokeweight="1pt"/>
                  </w:pict>
                </mc:Fallback>
              </mc:AlternateContent>
            </w:r>
            <w:r w:rsidRPr="008054B6">
              <w:rPr>
                <w:rFonts w:cs="Helvetica"/>
                <w:noProof/>
                <w:lang w:bidi="ne-NP"/>
              </w:rPr>
              <mc:AlternateContent>
                <mc:Choice Requires="wps">
                  <w:drawing>
                    <wp:anchor distT="0" distB="0" distL="114300" distR="114300" simplePos="0" relativeHeight="251650560" behindDoc="0" locked="0" layoutInCell="1" allowOverlap="1" wp14:anchorId="6EFA72A0" wp14:editId="76E33900">
                      <wp:simplePos x="0" y="0"/>
                      <wp:positionH relativeFrom="column">
                        <wp:posOffset>995680</wp:posOffset>
                      </wp:positionH>
                      <wp:positionV relativeFrom="paragraph">
                        <wp:posOffset>2418715</wp:posOffset>
                      </wp:positionV>
                      <wp:extent cx="142875" cy="152400"/>
                      <wp:effectExtent l="38100" t="38100" r="28575" b="57150"/>
                      <wp:wrapNone/>
                      <wp:docPr id="3" name="Explosion 1 3"/>
                      <wp:cNvGraphicFramePr/>
                      <a:graphic xmlns:a="http://schemas.openxmlformats.org/drawingml/2006/main">
                        <a:graphicData uri="http://schemas.microsoft.com/office/word/2010/wordprocessingShape">
                          <wps:wsp>
                            <wps:cNvSpPr/>
                            <wps:spPr>
                              <a:xfrm>
                                <a:off x="0" y="0"/>
                                <a:ext cx="142875" cy="152400"/>
                              </a:xfrm>
                              <a:prstGeom prst="irregularSeal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AEA0F" id="Explosion 1 3" o:spid="_x0000_s1026" type="#_x0000_t71" style="position:absolute;margin-left:78.4pt;margin-top:190.45pt;width:11.2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" fillcolor="red" strokecolor="red" strokeweight="1pt"/>
                  </w:pict>
                </mc:Fallback>
              </mc:AlternateContent>
            </w:r>
            <w:r w:rsidRPr="008054B6">
              <w:rPr>
                <w:rFonts w:cs="Helvetica"/>
                <w:noProof/>
                <w:lang w:bidi="ne-NP"/>
              </w:rPr>
              <mc:AlternateContent>
                <mc:Choice Requires="wps">
                  <w:drawing>
                    <wp:anchor distT="0" distB="0" distL="114300" distR="114300" simplePos="0" relativeHeight="251657728" behindDoc="0" locked="0" layoutInCell="1" allowOverlap="1" wp14:anchorId="488A172E" wp14:editId="3D17395B">
                      <wp:simplePos x="0" y="0"/>
                      <wp:positionH relativeFrom="column">
                        <wp:posOffset>1443355</wp:posOffset>
                      </wp:positionH>
                      <wp:positionV relativeFrom="paragraph">
                        <wp:posOffset>2704465</wp:posOffset>
                      </wp:positionV>
                      <wp:extent cx="142875" cy="152400"/>
                      <wp:effectExtent l="38100" t="38100" r="28575" b="57150"/>
                      <wp:wrapNone/>
                      <wp:docPr id="4" name="Explosion 1 4"/>
                      <wp:cNvGraphicFramePr/>
                      <a:graphic xmlns:a="http://schemas.openxmlformats.org/drawingml/2006/main">
                        <a:graphicData uri="http://schemas.microsoft.com/office/word/2010/wordprocessingShape">
                          <wps:wsp>
                            <wps:cNvSpPr/>
                            <wps:spPr>
                              <a:xfrm>
                                <a:off x="0" y="0"/>
                                <a:ext cx="142875" cy="152400"/>
                              </a:xfrm>
                              <a:prstGeom prst="irregularSeal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B4A7" id="Explosion 1 4" o:spid="_x0000_s1026" type="#_x0000_t71" style="position:absolute;margin-left:113.65pt;margin-top:212.95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" fillcolor="red" strokecolor="red" strokeweight="1pt"/>
                  </w:pict>
                </mc:Fallback>
              </mc:AlternateContent>
            </w:r>
            <w:r w:rsidR="00FD7861" w:rsidRPr="008054B6">
              <w:rPr>
                <w:rFonts w:cs="Helvetica"/>
                <w:noProof/>
                <w:lang w:bidi="ne-NP"/>
              </w:rPr>
              <w:drawing>
                <wp:inline distT="0" distB="0" distL="0" distR="0" wp14:anchorId="0AE7C279" wp14:editId="293B4F9B">
                  <wp:extent cx="3202029" cy="4023360"/>
                  <wp:effectExtent l="0" t="0" r="0" b="0"/>
                  <wp:docPr id="1" name="Picture 1" descr="Political Map of Som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Map of Soma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2029" cy="4023360"/>
                          </a:xfrm>
                          <a:prstGeom prst="rect">
                            <a:avLst/>
                          </a:prstGeom>
                          <a:noFill/>
                          <a:ln>
                            <a:noFill/>
                          </a:ln>
                        </pic:spPr>
                      </pic:pic>
                    </a:graphicData>
                  </a:graphic>
                </wp:inline>
              </w:drawing>
            </w:r>
          </w:p>
        </w:tc>
      </w:tr>
      <w:tr w:rsidR="00FD7861" w:rsidRPr="008054B6" w14:paraId="43B8A260" w14:textId="77777777" w:rsidTr="00E5354C">
        <w:tc>
          <w:tcPr>
            <w:tcW w:w="5258" w:type="dxa"/>
          </w:tcPr>
          <w:p w14:paraId="7BFA1305" w14:textId="77777777" w:rsidR="00FD7861" w:rsidRPr="008054B6" w:rsidRDefault="00FD7861" w:rsidP="008054B6">
            <w:pPr>
              <w:rPr>
                <w:rFonts w:cs="Times New Roman"/>
                <w:i/>
              </w:rPr>
            </w:pPr>
            <w:r w:rsidRPr="008054B6">
              <w:rPr>
                <w:rFonts w:cs="Times New Roman"/>
                <w:i/>
              </w:rPr>
              <w:t>Source: nationsonline</w:t>
            </w:r>
          </w:p>
        </w:tc>
      </w:tr>
    </w:tbl>
    <w:p w14:paraId="43B7AF9E" w14:textId="77777777" w:rsidR="005F01DB" w:rsidRPr="008054B6" w:rsidRDefault="000E430D" w:rsidP="008054B6">
      <w:pPr>
        <w:spacing w:after="0" w:line="240" w:lineRule="auto"/>
        <w:rPr>
          <w:rFonts w:cs="Times New Roman"/>
        </w:rPr>
      </w:pPr>
      <w:r w:rsidRPr="008054B6">
        <w:rPr>
          <w:rFonts w:cs="Times New Roman"/>
        </w:rPr>
        <w:t xml:space="preserve">From late 2010 to early 2012, a series of precipitating factors, including low levels of humanitarian aid, rising food costs, </w:t>
      </w:r>
      <w:r w:rsidR="00DF2318" w:rsidRPr="008054B6">
        <w:rPr>
          <w:rFonts w:cs="Times New Roman"/>
        </w:rPr>
        <w:t xml:space="preserve">and </w:t>
      </w:r>
      <w:r w:rsidRPr="008054B6">
        <w:rPr>
          <w:rFonts w:cs="Times New Roman"/>
        </w:rPr>
        <w:t>an extended and severe drought</w:t>
      </w:r>
      <w:r w:rsidR="00B729E2" w:rsidRPr="008054B6">
        <w:rPr>
          <w:rFonts w:cs="Times New Roman"/>
        </w:rPr>
        <w:t xml:space="preserve">, </w:t>
      </w:r>
      <w:r w:rsidRPr="008054B6">
        <w:rPr>
          <w:rFonts w:cs="Times New Roman"/>
        </w:rPr>
        <w:t>culmi</w:t>
      </w:r>
      <w:r w:rsidR="001142A4" w:rsidRPr="008054B6">
        <w:rPr>
          <w:rFonts w:cs="Times New Roman"/>
        </w:rPr>
        <w:t xml:space="preserve">nated in severe food insecurity and </w:t>
      </w:r>
      <w:r w:rsidRPr="008054B6">
        <w:rPr>
          <w:rFonts w:cs="Times New Roman"/>
        </w:rPr>
        <w:t>widespread malnutrition, in southern and central Somalia. Compounding poor climate conditions and long-standing under-production</w:t>
      </w:r>
      <w:r w:rsidR="00ED5BC3" w:rsidRPr="008054B6">
        <w:rPr>
          <w:rFonts w:cs="Times New Roman"/>
        </w:rPr>
        <w:t xml:space="preserve"> of staple foods, severe food insecurity was critically impacted by protracted </w:t>
      </w:r>
      <w:r w:rsidR="00DF2318" w:rsidRPr="008054B6">
        <w:rPr>
          <w:rFonts w:cs="Times New Roman"/>
        </w:rPr>
        <w:t>armed and violent conflict</w:t>
      </w:r>
      <w:r w:rsidR="00ED5BC3" w:rsidRPr="008054B6">
        <w:rPr>
          <w:rFonts w:cs="Times New Roman"/>
        </w:rPr>
        <w:t xml:space="preserve"> and </w:t>
      </w:r>
      <w:r w:rsidR="00B729E2" w:rsidRPr="008054B6">
        <w:rPr>
          <w:rFonts w:cs="Times New Roman"/>
        </w:rPr>
        <w:t xml:space="preserve">prolonged systemic and acute malnutrition.  In 2011, crisis level food insecurity </w:t>
      </w:r>
      <w:r w:rsidR="005F01DB" w:rsidRPr="008054B6">
        <w:rPr>
          <w:rFonts w:cs="Times New Roman"/>
        </w:rPr>
        <w:t>culminated in famine, which resulted in an estimated 243,000 to 272,000 deaths.</w:t>
      </w:r>
      <w:r w:rsidR="005F01DB" w:rsidRPr="008054B6">
        <w:rPr>
          <w:rStyle w:val="FootnoteReference"/>
          <w:rFonts w:cs="Times New Roman"/>
        </w:rPr>
        <w:footnoteReference w:id="1"/>
      </w:r>
      <w:r w:rsidR="005F01DB" w:rsidRPr="008054B6">
        <w:rPr>
          <w:rFonts w:cs="Times New Roman"/>
        </w:rPr>
        <w:t xml:space="preserve">  </w:t>
      </w:r>
    </w:p>
    <w:p w14:paraId="78D9142A" w14:textId="77777777" w:rsidR="005F01DB" w:rsidRPr="008054B6" w:rsidRDefault="005F01DB" w:rsidP="008054B6">
      <w:pPr>
        <w:spacing w:after="0" w:line="240" w:lineRule="auto"/>
        <w:rPr>
          <w:rFonts w:cs="Times New Roman"/>
        </w:rPr>
      </w:pPr>
    </w:p>
    <w:p w14:paraId="3AE7924F" w14:textId="77777777" w:rsidR="005F01DB" w:rsidRPr="008054B6" w:rsidRDefault="005F01DB" w:rsidP="008054B6">
      <w:pPr>
        <w:spacing w:after="0" w:line="240" w:lineRule="auto"/>
        <w:rPr>
          <w:rFonts w:cs="Times New Roman"/>
        </w:rPr>
      </w:pPr>
      <w:r w:rsidRPr="008054B6">
        <w:rPr>
          <w:rFonts w:cs="Times New Roman"/>
        </w:rPr>
        <w:t xml:space="preserve">In the aftermath of famine in Somalia, and recognizing the need for food assistance in urban areas, Catholic Relief Services (CRS) intervened in critically impacted cities to mitigate the impact of high prices and limited incomes on market-dependent populations.  Between January 2013 and December 2014, CRS implemented a series of voucher-based programs designed to allow households to meet basic food needs during lean season periods in years in urban centers where food security outcomes were projected to be at crisis or emergency levels.  </w:t>
      </w:r>
    </w:p>
    <w:p w14:paraId="60E4AEB3" w14:textId="77777777" w:rsidR="005F01DB" w:rsidRPr="008054B6" w:rsidRDefault="005F01DB" w:rsidP="008054B6">
      <w:pPr>
        <w:spacing w:after="0" w:line="240" w:lineRule="auto"/>
        <w:rPr>
          <w:rFonts w:cs="Times New Roman"/>
        </w:rPr>
      </w:pPr>
    </w:p>
    <w:p w14:paraId="400EE63D" w14:textId="77777777" w:rsidR="005F01DB" w:rsidRPr="008054B6" w:rsidRDefault="005F01DB" w:rsidP="008054B6">
      <w:pPr>
        <w:spacing w:after="0" w:line="240" w:lineRule="auto"/>
        <w:rPr>
          <w:rFonts w:cs="Times New Roman"/>
        </w:rPr>
      </w:pPr>
      <w:r w:rsidRPr="008054B6">
        <w:rPr>
          <w:rFonts w:cs="Times New Roman"/>
        </w:rPr>
        <w:t>Market-based food voucher programs were implemented in three urban market hubs:  Kismayo (January 2013 to December 2013) Baidoa (February 2014 to August 2014), and Mogadishu (July 2014 to December 2014). These programs successfully enhanced household food access for both internally displaced families and host community members, resulting in improved food security outcomes such as dietary diversity, and number of meals consumed.</w:t>
      </w:r>
    </w:p>
    <w:p w14:paraId="51F2F415" w14:textId="2788BC97" w:rsidR="00D7394A" w:rsidRPr="008054B6" w:rsidRDefault="00D7394A" w:rsidP="008054B6">
      <w:pPr>
        <w:spacing w:after="0" w:line="240" w:lineRule="auto"/>
        <w:rPr>
          <w:rFonts w:cs="Times New Roman"/>
        </w:rPr>
      </w:pPr>
    </w:p>
    <w:p w14:paraId="558416DD" w14:textId="68443A26" w:rsidR="00C72871" w:rsidRPr="008054B6" w:rsidRDefault="002E4903" w:rsidP="008054B6">
      <w:pPr>
        <w:spacing w:after="0" w:line="240" w:lineRule="auto"/>
        <w:rPr>
          <w:rFonts w:cs="Times New Roman"/>
          <w:i/>
        </w:rPr>
      </w:pPr>
      <w:r w:rsidRPr="008054B6">
        <w:rPr>
          <w:rFonts w:cs="Times New Roman"/>
          <w:i/>
        </w:rPr>
        <w:t>Goals and Objectives</w:t>
      </w:r>
      <w:r w:rsidR="0032797A" w:rsidRPr="008054B6">
        <w:rPr>
          <w:rFonts w:cs="Times New Roman"/>
          <w:i/>
        </w:rPr>
        <w:t xml:space="preserve"> of the Case Study</w:t>
      </w:r>
    </w:p>
    <w:p w14:paraId="6A03E8DE" w14:textId="1A48ABFE" w:rsidR="001142A4" w:rsidRPr="008054B6" w:rsidRDefault="00AD6BFD"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rPr>
        <w:t xml:space="preserve">The voucher programs were successful in improving food security outcomes as expected, but also yielded indirect </w:t>
      </w:r>
      <w:r w:rsidR="00627789" w:rsidRPr="008054B6">
        <w:rPr>
          <w:rFonts w:asciiTheme="minorHAnsi" w:hAnsiTheme="minorHAnsi"/>
          <w:sz w:val="22"/>
          <w:szCs w:val="22"/>
        </w:rPr>
        <w:t xml:space="preserve">positive </w:t>
      </w:r>
      <w:r w:rsidRPr="008054B6">
        <w:rPr>
          <w:rFonts w:asciiTheme="minorHAnsi" w:hAnsiTheme="minorHAnsi"/>
          <w:sz w:val="22"/>
          <w:szCs w:val="22"/>
        </w:rPr>
        <w:t xml:space="preserve">results on participating households and the broader community, including market actors.  To </w:t>
      </w:r>
      <w:r w:rsidR="00627789" w:rsidRPr="008054B6">
        <w:rPr>
          <w:rFonts w:asciiTheme="minorHAnsi" w:hAnsiTheme="minorHAnsi"/>
          <w:sz w:val="22"/>
          <w:szCs w:val="22"/>
        </w:rPr>
        <w:t>better understand the broader impact of voucher programs</w:t>
      </w:r>
      <w:r w:rsidR="001142A4" w:rsidRPr="008054B6">
        <w:rPr>
          <w:rFonts w:asciiTheme="minorHAnsi" w:hAnsiTheme="minorHAnsi"/>
          <w:sz w:val="22"/>
          <w:szCs w:val="22"/>
        </w:rPr>
        <w:t xml:space="preserve"> beyond household-level food security</w:t>
      </w:r>
      <w:r w:rsidR="0022753F" w:rsidRPr="008054B6">
        <w:rPr>
          <w:rFonts w:asciiTheme="minorHAnsi" w:hAnsiTheme="minorHAnsi"/>
          <w:sz w:val="22"/>
          <w:szCs w:val="22"/>
        </w:rPr>
        <w:t xml:space="preserve"> in urban, insecure contexts,</w:t>
      </w:r>
      <w:r w:rsidR="00627789" w:rsidRPr="008054B6">
        <w:rPr>
          <w:rFonts w:asciiTheme="minorHAnsi" w:hAnsiTheme="minorHAnsi"/>
          <w:sz w:val="22"/>
          <w:szCs w:val="22"/>
        </w:rPr>
        <w:t xml:space="preserve"> </w:t>
      </w:r>
      <w:r w:rsidR="001142A4" w:rsidRPr="008054B6">
        <w:rPr>
          <w:rFonts w:asciiTheme="minorHAnsi" w:hAnsiTheme="minorHAnsi"/>
          <w:sz w:val="22"/>
          <w:szCs w:val="22"/>
        </w:rPr>
        <w:t>this case study aims to:</w:t>
      </w:r>
    </w:p>
    <w:p w14:paraId="0980FD1F" w14:textId="77777777" w:rsidR="005F01DB" w:rsidRPr="008054B6" w:rsidRDefault="005F01DB" w:rsidP="008054B6">
      <w:pPr>
        <w:pStyle w:val="yiv5386992270msonormal"/>
        <w:spacing w:before="0" w:beforeAutospacing="0" w:after="0" w:afterAutospacing="0"/>
        <w:rPr>
          <w:rFonts w:asciiTheme="minorHAnsi" w:hAnsiTheme="minorHAnsi"/>
          <w:sz w:val="22"/>
          <w:szCs w:val="22"/>
        </w:rPr>
      </w:pPr>
    </w:p>
    <w:p w14:paraId="53198E5D" w14:textId="0D6F24F4" w:rsidR="001142A4" w:rsidRPr="008054B6" w:rsidRDefault="001142A4" w:rsidP="008054B6">
      <w:pPr>
        <w:pStyle w:val="yiv5386992270msonormal"/>
        <w:numPr>
          <w:ilvl w:val="0"/>
          <w:numId w:val="33"/>
        </w:numPr>
        <w:spacing w:before="0" w:beforeAutospacing="0" w:after="0" w:afterAutospacing="0"/>
        <w:rPr>
          <w:rFonts w:asciiTheme="minorHAnsi" w:hAnsiTheme="minorHAnsi"/>
          <w:sz w:val="22"/>
          <w:szCs w:val="22"/>
        </w:rPr>
      </w:pPr>
      <w:r w:rsidRPr="008054B6">
        <w:rPr>
          <w:rFonts w:asciiTheme="minorHAnsi" w:hAnsiTheme="minorHAnsi"/>
          <w:sz w:val="22"/>
          <w:szCs w:val="22"/>
        </w:rPr>
        <w:lastRenderedPageBreak/>
        <w:t>P</w:t>
      </w:r>
      <w:r w:rsidR="002E4903" w:rsidRPr="008054B6">
        <w:rPr>
          <w:rFonts w:asciiTheme="minorHAnsi" w:hAnsiTheme="minorHAnsi"/>
          <w:sz w:val="22"/>
          <w:szCs w:val="22"/>
        </w:rPr>
        <w:t>rovide</w:t>
      </w:r>
      <w:r w:rsidR="0022753F" w:rsidRPr="008054B6">
        <w:rPr>
          <w:rFonts w:asciiTheme="minorHAnsi" w:hAnsiTheme="minorHAnsi"/>
          <w:sz w:val="22"/>
          <w:szCs w:val="22"/>
        </w:rPr>
        <w:t xml:space="preserve"> input for</w:t>
      </w:r>
      <w:r w:rsidR="00FF4678" w:rsidRPr="008054B6">
        <w:rPr>
          <w:rFonts w:asciiTheme="minorHAnsi" w:hAnsiTheme="minorHAnsi"/>
          <w:sz w:val="22"/>
          <w:szCs w:val="22"/>
        </w:rPr>
        <w:t xml:space="preserve"> technical guidance for</w:t>
      </w:r>
      <w:r w:rsidR="002E4903" w:rsidRPr="008054B6">
        <w:rPr>
          <w:rFonts w:asciiTheme="minorHAnsi" w:hAnsiTheme="minorHAnsi"/>
          <w:sz w:val="22"/>
          <w:szCs w:val="22"/>
        </w:rPr>
        <w:t xml:space="preserve"> future </w:t>
      </w:r>
      <w:r w:rsidR="0022753F" w:rsidRPr="008054B6">
        <w:rPr>
          <w:rFonts w:asciiTheme="minorHAnsi" w:hAnsiTheme="minorHAnsi"/>
          <w:sz w:val="22"/>
          <w:szCs w:val="22"/>
        </w:rPr>
        <w:t>food security programs in urban, insecure contexts</w:t>
      </w:r>
      <w:r w:rsidRPr="008054B6">
        <w:rPr>
          <w:rFonts w:asciiTheme="minorHAnsi" w:hAnsiTheme="minorHAnsi"/>
          <w:sz w:val="22"/>
          <w:szCs w:val="22"/>
        </w:rPr>
        <w:t>;</w:t>
      </w:r>
      <w:r w:rsidR="0022753F" w:rsidRPr="008054B6">
        <w:rPr>
          <w:rFonts w:asciiTheme="minorHAnsi" w:hAnsiTheme="minorHAnsi"/>
          <w:sz w:val="22"/>
          <w:szCs w:val="22"/>
        </w:rPr>
        <w:t xml:space="preserve">  and</w:t>
      </w:r>
    </w:p>
    <w:p w14:paraId="34A5130D" w14:textId="352F86EC" w:rsidR="001142A4" w:rsidRPr="008054B6" w:rsidRDefault="001142A4" w:rsidP="008054B6">
      <w:pPr>
        <w:pStyle w:val="yiv5386992270msonormal"/>
        <w:numPr>
          <w:ilvl w:val="0"/>
          <w:numId w:val="33"/>
        </w:numPr>
        <w:spacing w:before="0" w:beforeAutospacing="0" w:after="0" w:afterAutospacing="0"/>
        <w:rPr>
          <w:rFonts w:asciiTheme="minorHAnsi" w:hAnsiTheme="minorHAnsi"/>
          <w:sz w:val="22"/>
          <w:szCs w:val="22"/>
        </w:rPr>
      </w:pPr>
      <w:r w:rsidRPr="008054B6">
        <w:rPr>
          <w:rFonts w:asciiTheme="minorHAnsi" w:hAnsiTheme="minorHAnsi"/>
          <w:sz w:val="22"/>
          <w:szCs w:val="22"/>
        </w:rPr>
        <w:t>C</w:t>
      </w:r>
      <w:r w:rsidR="002E4903" w:rsidRPr="008054B6">
        <w:rPr>
          <w:rFonts w:asciiTheme="minorHAnsi" w:hAnsiTheme="minorHAnsi"/>
          <w:sz w:val="22"/>
          <w:szCs w:val="22"/>
        </w:rPr>
        <w:t>ontribute to intellectual capital in the domain of cash</w:t>
      </w:r>
      <w:r w:rsidR="0022753F" w:rsidRPr="008054B6">
        <w:rPr>
          <w:rFonts w:asciiTheme="minorHAnsi" w:hAnsiTheme="minorHAnsi"/>
          <w:sz w:val="22"/>
          <w:szCs w:val="22"/>
        </w:rPr>
        <w:t>-based programming in urban, insecure contexts.</w:t>
      </w:r>
    </w:p>
    <w:p w14:paraId="347B56F1" w14:textId="77777777" w:rsidR="005F01DB" w:rsidRPr="008054B6" w:rsidRDefault="005F01DB" w:rsidP="008054B6">
      <w:pPr>
        <w:pStyle w:val="yiv5386992270msonormal"/>
        <w:spacing w:before="0" w:beforeAutospacing="0" w:after="0" w:afterAutospacing="0"/>
        <w:ind w:left="720"/>
        <w:rPr>
          <w:rFonts w:asciiTheme="minorHAnsi" w:hAnsiTheme="minorHAnsi"/>
          <w:sz w:val="22"/>
          <w:szCs w:val="22"/>
        </w:rPr>
      </w:pPr>
    </w:p>
    <w:p w14:paraId="14FDA920" w14:textId="77973DE3" w:rsidR="00C039F8" w:rsidRPr="008054B6" w:rsidRDefault="00C039F8"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rPr>
        <w:t xml:space="preserve">The case study addresses </w:t>
      </w:r>
      <w:r w:rsidR="005F01DB" w:rsidRPr="008054B6">
        <w:rPr>
          <w:rFonts w:asciiTheme="minorHAnsi" w:hAnsiTheme="minorHAnsi"/>
          <w:sz w:val="22"/>
          <w:szCs w:val="22"/>
        </w:rPr>
        <w:t xml:space="preserve">two </w:t>
      </w:r>
      <w:r w:rsidR="00395A39" w:rsidRPr="008054B6">
        <w:rPr>
          <w:rFonts w:asciiTheme="minorHAnsi" w:hAnsiTheme="minorHAnsi"/>
          <w:sz w:val="22"/>
          <w:szCs w:val="22"/>
        </w:rPr>
        <w:t xml:space="preserve">key research questions, which examine the </w:t>
      </w:r>
      <w:r w:rsidR="005F01DB" w:rsidRPr="008054B6">
        <w:rPr>
          <w:rFonts w:asciiTheme="minorHAnsi" w:hAnsiTheme="minorHAnsi"/>
          <w:sz w:val="22"/>
          <w:szCs w:val="22"/>
        </w:rPr>
        <w:t xml:space="preserve">most important </w:t>
      </w:r>
      <w:r w:rsidR="00395A39" w:rsidRPr="008054B6">
        <w:rPr>
          <w:rFonts w:asciiTheme="minorHAnsi" w:hAnsiTheme="minorHAnsi"/>
          <w:sz w:val="22"/>
          <w:szCs w:val="22"/>
        </w:rPr>
        <w:t xml:space="preserve">aspects of program implementation, impact and outcomes, and key considerations for replication.  The case study is organized according to the </w:t>
      </w:r>
      <w:r w:rsidR="00DD4CC4" w:rsidRPr="008054B6">
        <w:rPr>
          <w:rFonts w:asciiTheme="minorHAnsi" w:hAnsiTheme="minorHAnsi"/>
          <w:sz w:val="22"/>
          <w:szCs w:val="22"/>
        </w:rPr>
        <w:t xml:space="preserve">following </w:t>
      </w:r>
      <w:r w:rsidR="00395A39" w:rsidRPr="008054B6">
        <w:rPr>
          <w:rFonts w:asciiTheme="minorHAnsi" w:hAnsiTheme="minorHAnsi"/>
          <w:sz w:val="22"/>
          <w:szCs w:val="22"/>
        </w:rPr>
        <w:t>research questions:</w:t>
      </w:r>
    </w:p>
    <w:p w14:paraId="69D9115F" w14:textId="77777777" w:rsidR="00671F34" w:rsidRPr="008054B6" w:rsidRDefault="00671F34" w:rsidP="008054B6">
      <w:pPr>
        <w:spacing w:after="0" w:line="240" w:lineRule="auto"/>
        <w:rPr>
          <w:rFonts w:cs="Times New Roman"/>
        </w:rPr>
      </w:pPr>
    </w:p>
    <w:p w14:paraId="26C1503B" w14:textId="7B57E5CB" w:rsidR="00BB013D" w:rsidRPr="008054B6" w:rsidRDefault="00395A39" w:rsidP="008054B6">
      <w:pPr>
        <w:pStyle w:val="yiv5386992270msonormal"/>
        <w:spacing w:before="0" w:beforeAutospacing="0" w:after="0" w:afterAutospacing="0"/>
        <w:rPr>
          <w:rFonts w:asciiTheme="minorHAnsi" w:hAnsiTheme="minorHAnsi"/>
          <w:sz w:val="22"/>
          <w:szCs w:val="22"/>
          <w:u w:val="single"/>
        </w:rPr>
      </w:pPr>
      <w:r w:rsidRPr="008054B6">
        <w:rPr>
          <w:rFonts w:asciiTheme="minorHAnsi" w:hAnsiTheme="minorHAnsi"/>
          <w:sz w:val="22"/>
          <w:szCs w:val="22"/>
          <w:u w:val="single"/>
        </w:rPr>
        <w:t>What specific assumptions</w:t>
      </w:r>
      <w:r w:rsidR="00BB013D" w:rsidRPr="008054B6">
        <w:rPr>
          <w:rFonts w:asciiTheme="minorHAnsi" w:hAnsiTheme="minorHAnsi"/>
          <w:sz w:val="22"/>
          <w:szCs w:val="22"/>
          <w:u w:val="single"/>
        </w:rPr>
        <w:t xml:space="preserve"> </w:t>
      </w:r>
      <w:r w:rsidRPr="008054B6">
        <w:rPr>
          <w:rFonts w:asciiTheme="minorHAnsi" w:hAnsiTheme="minorHAnsi"/>
          <w:sz w:val="22"/>
          <w:szCs w:val="22"/>
          <w:u w:val="single"/>
        </w:rPr>
        <w:t>drove the project methodology and design</w:t>
      </w:r>
      <w:r w:rsidR="00BB013D" w:rsidRPr="008054B6">
        <w:rPr>
          <w:rFonts w:asciiTheme="minorHAnsi" w:hAnsiTheme="minorHAnsi"/>
          <w:sz w:val="22"/>
          <w:szCs w:val="22"/>
          <w:u w:val="single"/>
        </w:rPr>
        <w:t xml:space="preserve"> of the voucher mechanism?</w:t>
      </w:r>
      <w:r w:rsidRPr="008054B6">
        <w:rPr>
          <w:rFonts w:asciiTheme="minorHAnsi" w:hAnsiTheme="minorHAnsi"/>
          <w:sz w:val="22"/>
          <w:szCs w:val="22"/>
          <w:u w:val="single"/>
        </w:rPr>
        <w:t xml:space="preserve"> </w:t>
      </w:r>
    </w:p>
    <w:p w14:paraId="3262E07F" w14:textId="41D5D263" w:rsidR="00BB013D" w:rsidRPr="008054B6" w:rsidRDefault="00BB013D"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rPr>
        <w:t>The case study analyze</w:t>
      </w:r>
      <w:r w:rsidR="001142A4" w:rsidRPr="008054B6">
        <w:rPr>
          <w:rFonts w:asciiTheme="minorHAnsi" w:hAnsiTheme="minorHAnsi"/>
          <w:sz w:val="22"/>
          <w:szCs w:val="22"/>
        </w:rPr>
        <w:t>s</w:t>
      </w:r>
      <w:r w:rsidRPr="008054B6">
        <w:rPr>
          <w:rFonts w:asciiTheme="minorHAnsi" w:hAnsiTheme="minorHAnsi"/>
          <w:sz w:val="22"/>
          <w:szCs w:val="22"/>
        </w:rPr>
        <w:t xml:space="preserve"> assumptions </w:t>
      </w:r>
      <w:r w:rsidR="0064747A" w:rsidRPr="008054B6">
        <w:rPr>
          <w:rFonts w:asciiTheme="minorHAnsi" w:hAnsiTheme="minorHAnsi"/>
          <w:sz w:val="22"/>
          <w:szCs w:val="22"/>
        </w:rPr>
        <w:t>that guided</w:t>
      </w:r>
      <w:r w:rsidR="001142A4" w:rsidRPr="008054B6">
        <w:rPr>
          <w:rFonts w:asciiTheme="minorHAnsi" w:hAnsiTheme="minorHAnsi"/>
          <w:sz w:val="22"/>
          <w:szCs w:val="22"/>
        </w:rPr>
        <w:t xml:space="preserve"> </w:t>
      </w:r>
      <w:r w:rsidR="0022753F" w:rsidRPr="008054B6">
        <w:rPr>
          <w:rFonts w:asciiTheme="minorHAnsi" w:hAnsiTheme="minorHAnsi"/>
          <w:sz w:val="22"/>
          <w:szCs w:val="22"/>
        </w:rPr>
        <w:t xml:space="preserve">the team </w:t>
      </w:r>
      <w:r w:rsidR="00DD4CC4" w:rsidRPr="008054B6">
        <w:rPr>
          <w:rFonts w:asciiTheme="minorHAnsi" w:hAnsiTheme="minorHAnsi"/>
          <w:sz w:val="22"/>
          <w:szCs w:val="22"/>
        </w:rPr>
        <w:t>in determining</w:t>
      </w:r>
      <w:r w:rsidR="0022753F" w:rsidRPr="008054B6">
        <w:rPr>
          <w:rFonts w:asciiTheme="minorHAnsi" w:hAnsiTheme="minorHAnsi"/>
          <w:sz w:val="22"/>
          <w:szCs w:val="22"/>
        </w:rPr>
        <w:t xml:space="preserve"> the most appropriate modality</w:t>
      </w:r>
      <w:r w:rsidR="007771E0" w:rsidRPr="008054B6">
        <w:rPr>
          <w:rFonts w:asciiTheme="minorHAnsi" w:hAnsiTheme="minorHAnsi"/>
          <w:sz w:val="22"/>
          <w:szCs w:val="22"/>
        </w:rPr>
        <w:t xml:space="preserve"> for food transfers</w:t>
      </w:r>
      <w:r w:rsidR="0022753F" w:rsidRPr="008054B6">
        <w:rPr>
          <w:rFonts w:asciiTheme="minorHAnsi" w:hAnsiTheme="minorHAnsi"/>
          <w:sz w:val="22"/>
          <w:szCs w:val="22"/>
        </w:rPr>
        <w:t>, considering the</w:t>
      </w:r>
      <w:r w:rsidR="001C5596" w:rsidRPr="008054B6">
        <w:rPr>
          <w:rFonts w:asciiTheme="minorHAnsi" w:hAnsiTheme="minorHAnsi"/>
          <w:sz w:val="22"/>
          <w:szCs w:val="22"/>
        </w:rPr>
        <w:t xml:space="preserve"> </w:t>
      </w:r>
      <w:r w:rsidR="000D2346" w:rsidRPr="008054B6">
        <w:rPr>
          <w:rFonts w:asciiTheme="minorHAnsi" w:hAnsiTheme="minorHAnsi"/>
          <w:sz w:val="22"/>
          <w:szCs w:val="22"/>
        </w:rPr>
        <w:t xml:space="preserve">urban and highly-insecure </w:t>
      </w:r>
      <w:r w:rsidR="001C5596" w:rsidRPr="008054B6">
        <w:rPr>
          <w:rFonts w:asciiTheme="minorHAnsi" w:hAnsiTheme="minorHAnsi"/>
          <w:sz w:val="22"/>
          <w:szCs w:val="22"/>
        </w:rPr>
        <w:t>context</w:t>
      </w:r>
      <w:r w:rsidR="0022753F" w:rsidRPr="008054B6">
        <w:rPr>
          <w:rFonts w:asciiTheme="minorHAnsi" w:hAnsiTheme="minorHAnsi"/>
          <w:sz w:val="22"/>
          <w:szCs w:val="22"/>
        </w:rPr>
        <w:t xml:space="preserve">. </w:t>
      </w:r>
      <w:r w:rsidR="0064747A" w:rsidRPr="008054B6">
        <w:rPr>
          <w:rFonts w:asciiTheme="minorHAnsi" w:hAnsiTheme="minorHAnsi"/>
          <w:sz w:val="22"/>
          <w:szCs w:val="22"/>
        </w:rPr>
        <w:t>Such an analysis will contribute to overall learning on conducting urban cash-based food programs in similar conflict-prone</w:t>
      </w:r>
      <w:r w:rsidR="007771E0" w:rsidRPr="008054B6">
        <w:rPr>
          <w:rFonts w:asciiTheme="minorHAnsi" w:hAnsiTheme="minorHAnsi"/>
          <w:sz w:val="22"/>
          <w:szCs w:val="22"/>
        </w:rPr>
        <w:t xml:space="preserve"> </w:t>
      </w:r>
      <w:r w:rsidR="001C5596" w:rsidRPr="008054B6">
        <w:rPr>
          <w:rFonts w:asciiTheme="minorHAnsi" w:hAnsiTheme="minorHAnsi"/>
          <w:sz w:val="22"/>
          <w:szCs w:val="22"/>
        </w:rPr>
        <w:t>environments</w:t>
      </w:r>
      <w:r w:rsidR="0064747A" w:rsidRPr="008054B6">
        <w:rPr>
          <w:rFonts w:asciiTheme="minorHAnsi" w:hAnsiTheme="minorHAnsi"/>
          <w:sz w:val="22"/>
          <w:szCs w:val="22"/>
        </w:rPr>
        <w:t>.</w:t>
      </w:r>
      <w:r w:rsidRPr="008054B6">
        <w:rPr>
          <w:rFonts w:asciiTheme="minorHAnsi" w:hAnsiTheme="minorHAnsi"/>
          <w:sz w:val="22"/>
          <w:szCs w:val="22"/>
        </w:rPr>
        <w:t xml:space="preserve">  </w:t>
      </w:r>
    </w:p>
    <w:p w14:paraId="7CF82E93" w14:textId="77777777" w:rsidR="0024558D" w:rsidRPr="008054B6" w:rsidRDefault="0024558D" w:rsidP="008054B6">
      <w:pPr>
        <w:pStyle w:val="yiv5386992270msonormal"/>
        <w:spacing w:before="0" w:beforeAutospacing="0" w:after="0" w:afterAutospacing="0"/>
        <w:ind w:firstLine="360"/>
        <w:rPr>
          <w:rFonts w:asciiTheme="minorHAnsi" w:hAnsiTheme="minorHAnsi"/>
          <w:sz w:val="22"/>
          <w:szCs w:val="22"/>
        </w:rPr>
      </w:pPr>
    </w:p>
    <w:p w14:paraId="3E294A1C" w14:textId="6D981910" w:rsidR="00395A39" w:rsidRPr="008054B6" w:rsidRDefault="0064747A" w:rsidP="008054B6">
      <w:pPr>
        <w:pStyle w:val="yiv5386992270msonormal"/>
        <w:spacing w:before="0" w:beforeAutospacing="0" w:after="0" w:afterAutospacing="0"/>
        <w:rPr>
          <w:rFonts w:asciiTheme="minorHAnsi" w:hAnsiTheme="minorHAnsi"/>
          <w:sz w:val="22"/>
          <w:szCs w:val="22"/>
          <w:u w:val="single"/>
        </w:rPr>
      </w:pPr>
      <w:r w:rsidRPr="008054B6">
        <w:rPr>
          <w:rFonts w:asciiTheme="minorHAnsi" w:hAnsiTheme="minorHAnsi"/>
          <w:sz w:val="22"/>
          <w:szCs w:val="22"/>
          <w:u w:val="single"/>
        </w:rPr>
        <w:t>What were the un</w:t>
      </w:r>
      <w:r w:rsidR="00395A39" w:rsidRPr="008054B6">
        <w:rPr>
          <w:rFonts w:asciiTheme="minorHAnsi" w:hAnsiTheme="minorHAnsi"/>
          <w:sz w:val="22"/>
          <w:szCs w:val="22"/>
          <w:u w:val="single"/>
        </w:rPr>
        <w:t xml:space="preserve">anticipated economic and social </w:t>
      </w:r>
      <w:r w:rsidR="007771E0" w:rsidRPr="008054B6">
        <w:rPr>
          <w:rFonts w:asciiTheme="minorHAnsi" w:hAnsiTheme="minorHAnsi"/>
          <w:sz w:val="22"/>
          <w:szCs w:val="22"/>
          <w:u w:val="single"/>
        </w:rPr>
        <w:t>impacts</w:t>
      </w:r>
      <w:r w:rsidR="00395A39" w:rsidRPr="008054B6">
        <w:rPr>
          <w:rFonts w:asciiTheme="minorHAnsi" w:hAnsiTheme="minorHAnsi"/>
          <w:sz w:val="22"/>
          <w:szCs w:val="22"/>
          <w:u w:val="single"/>
        </w:rPr>
        <w:t xml:space="preserve"> of the CRS urban voucher program in Somalia?</w:t>
      </w:r>
    </w:p>
    <w:p w14:paraId="5E949D1C" w14:textId="065C16E3" w:rsidR="00982293" w:rsidRPr="008054B6" w:rsidRDefault="0024558D"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rPr>
        <w:t xml:space="preserve">CRS recognizes that the impact of the food security voucher program extended beyond the direct objectives of mitigating poor food security outcomes and increasing access to </w:t>
      </w:r>
      <w:r w:rsidR="0064747A" w:rsidRPr="008054B6">
        <w:rPr>
          <w:rFonts w:asciiTheme="minorHAnsi" w:hAnsiTheme="minorHAnsi"/>
          <w:sz w:val="22"/>
          <w:szCs w:val="22"/>
        </w:rPr>
        <w:t>diverse foods</w:t>
      </w:r>
      <w:r w:rsidRPr="008054B6">
        <w:rPr>
          <w:rFonts w:asciiTheme="minorHAnsi" w:hAnsiTheme="minorHAnsi"/>
          <w:sz w:val="22"/>
          <w:szCs w:val="22"/>
        </w:rPr>
        <w:t>.  The case study review</w:t>
      </w:r>
      <w:r w:rsidR="0064747A" w:rsidRPr="008054B6">
        <w:rPr>
          <w:rFonts w:asciiTheme="minorHAnsi" w:hAnsiTheme="minorHAnsi"/>
          <w:sz w:val="22"/>
          <w:szCs w:val="22"/>
        </w:rPr>
        <w:t>s other</w:t>
      </w:r>
      <w:r w:rsidRPr="008054B6">
        <w:rPr>
          <w:rFonts w:asciiTheme="minorHAnsi" w:hAnsiTheme="minorHAnsi"/>
          <w:sz w:val="22"/>
          <w:szCs w:val="22"/>
        </w:rPr>
        <w:t xml:space="preserve"> unanticipated impacts on market actors, household dynamics, and the community at large, reflecting on differences in location and urban context</w:t>
      </w:r>
      <w:r w:rsidR="00DD4CC4" w:rsidRPr="008054B6">
        <w:rPr>
          <w:rFonts w:asciiTheme="minorHAnsi" w:hAnsiTheme="minorHAnsi"/>
          <w:sz w:val="22"/>
          <w:szCs w:val="22"/>
        </w:rPr>
        <w:t>,</w:t>
      </w:r>
      <w:r w:rsidRPr="008054B6">
        <w:rPr>
          <w:rFonts w:asciiTheme="minorHAnsi" w:hAnsiTheme="minorHAnsi"/>
          <w:sz w:val="22"/>
          <w:szCs w:val="22"/>
        </w:rPr>
        <w:t xml:space="preserve"> where significant. </w:t>
      </w:r>
    </w:p>
    <w:p w14:paraId="41B1E133" w14:textId="77777777" w:rsidR="00982293" w:rsidRPr="008054B6" w:rsidRDefault="00982293" w:rsidP="008054B6">
      <w:pPr>
        <w:pStyle w:val="yiv5386992270msonormal"/>
        <w:spacing w:before="0" w:beforeAutospacing="0" w:after="0" w:afterAutospacing="0"/>
        <w:rPr>
          <w:rFonts w:asciiTheme="minorHAnsi" w:hAnsiTheme="minorHAnsi"/>
          <w:sz w:val="22"/>
          <w:szCs w:val="22"/>
        </w:rPr>
      </w:pPr>
    </w:p>
    <w:p w14:paraId="15E6C288" w14:textId="36E7865E" w:rsidR="00982293" w:rsidRPr="008054B6" w:rsidRDefault="00982293" w:rsidP="008054B6">
      <w:pPr>
        <w:spacing w:after="0" w:line="240" w:lineRule="auto"/>
        <w:ind w:left="-360"/>
        <w:rPr>
          <w:rFonts w:cs="Times New Roman"/>
        </w:rPr>
      </w:pPr>
      <w:r w:rsidRPr="008054B6">
        <w:rPr>
          <w:rFonts w:cs="Times New Roman"/>
        </w:rPr>
        <w:t xml:space="preserve">The case study research draws from a series of key informant interviews and focus groups conducted as part of final program evaluations, as well as several follow-up focus groups in Mogadishu in May 2015. </w:t>
      </w:r>
    </w:p>
    <w:p w14:paraId="748C3A5C" w14:textId="77777777" w:rsidR="00C72871" w:rsidRPr="008054B6" w:rsidRDefault="00C72871" w:rsidP="008054B6">
      <w:pPr>
        <w:spacing w:after="0" w:line="240" w:lineRule="auto"/>
        <w:rPr>
          <w:rFonts w:cs="Times New Roman"/>
        </w:rPr>
      </w:pPr>
    </w:p>
    <w:p w14:paraId="6C724712" w14:textId="771D7413" w:rsidR="008054B6" w:rsidRPr="008054B6" w:rsidRDefault="008054B6" w:rsidP="008054B6">
      <w:pPr>
        <w:spacing w:after="0" w:line="240" w:lineRule="auto"/>
        <w:ind w:left="-360"/>
        <w:rPr>
          <w:rFonts w:cs="Times New Roman"/>
          <w:b/>
          <w:color w:val="0070C0"/>
          <w:sz w:val="32"/>
        </w:rPr>
      </w:pPr>
      <w:r w:rsidRPr="008054B6">
        <w:rPr>
          <w:rFonts w:cs="Times New Roman"/>
          <w:b/>
          <w:color w:val="0070C0"/>
          <w:sz w:val="36"/>
        </w:rPr>
        <w:t>PROGRAM DESCRIPTION</w:t>
      </w:r>
    </w:p>
    <w:p w14:paraId="389F291E" w14:textId="6880C960" w:rsidR="00621589" w:rsidRPr="008054B6" w:rsidRDefault="008054B6" w:rsidP="008054B6">
      <w:pPr>
        <w:spacing w:after="0" w:line="240" w:lineRule="auto"/>
        <w:ind w:left="-360"/>
        <w:rPr>
          <w:rFonts w:cs="Times New Roman"/>
        </w:rPr>
      </w:pPr>
      <w:r>
        <w:rPr>
          <w:rFonts w:cs="Times New Roman"/>
        </w:rPr>
        <w:br/>
      </w:r>
      <w:r w:rsidR="009D717C" w:rsidRPr="008054B6">
        <w:rPr>
          <w:rFonts w:cs="Times New Roman"/>
        </w:rPr>
        <w:t xml:space="preserve">CRS has provided critical development and humanitarian support in South Central Somalia since the 1990’s. Beginning in </w:t>
      </w:r>
      <w:r w:rsidR="00DE46EC" w:rsidRPr="008054B6">
        <w:rPr>
          <w:rFonts w:cs="Times New Roman"/>
        </w:rPr>
        <w:t xml:space="preserve">early </w:t>
      </w:r>
      <w:r w:rsidR="009D717C" w:rsidRPr="008054B6">
        <w:rPr>
          <w:rFonts w:cs="Times New Roman"/>
        </w:rPr>
        <w:t>2013, CRS implemented a series of voucher programs designed to meet urgent food needs of vulnerable IDP and host households in urban communities.  The program was first implemented in Kismayo, beginning in January 2013, and was later expanded several times to Baidoa</w:t>
      </w:r>
      <w:r w:rsidR="00DF2318" w:rsidRPr="008054B6">
        <w:rPr>
          <w:rFonts w:cs="Times New Roman"/>
        </w:rPr>
        <w:t xml:space="preserve"> (February 2014 to August 2014) and Mogadishu (July 2014</w:t>
      </w:r>
      <w:r w:rsidR="009D717C" w:rsidRPr="008054B6">
        <w:rPr>
          <w:rFonts w:cs="Times New Roman"/>
        </w:rPr>
        <w:t xml:space="preserve"> to </w:t>
      </w:r>
      <w:r w:rsidR="00DF2318" w:rsidRPr="008054B6">
        <w:rPr>
          <w:rFonts w:cs="Times New Roman"/>
        </w:rPr>
        <w:t>December 2014</w:t>
      </w:r>
      <w:r w:rsidR="009D717C" w:rsidRPr="008054B6">
        <w:rPr>
          <w:rFonts w:cs="Times New Roman"/>
        </w:rPr>
        <w:t xml:space="preserve">).  </w:t>
      </w:r>
    </w:p>
    <w:p w14:paraId="6C7A5E1D" w14:textId="77777777" w:rsidR="009D717C" w:rsidRPr="008054B6" w:rsidRDefault="009D717C" w:rsidP="008054B6">
      <w:pPr>
        <w:pStyle w:val="ListParagraph"/>
        <w:spacing w:after="0" w:line="240" w:lineRule="auto"/>
        <w:ind w:left="-360"/>
        <w:rPr>
          <w:rFonts w:cs="Times New Roman"/>
        </w:rPr>
      </w:pPr>
    </w:p>
    <w:p w14:paraId="4CF93246" w14:textId="77777777" w:rsidR="00072F8B" w:rsidRPr="008054B6" w:rsidRDefault="00072F8B" w:rsidP="008054B6">
      <w:pPr>
        <w:spacing w:after="0" w:line="240" w:lineRule="auto"/>
        <w:ind w:left="-360"/>
        <w:rPr>
          <w:rFonts w:cs="Times New Roman"/>
          <w:i/>
        </w:rPr>
      </w:pPr>
      <w:r w:rsidRPr="008054B6">
        <w:rPr>
          <w:rFonts w:cs="Times New Roman"/>
          <w:i/>
        </w:rPr>
        <w:t>Objectives and goals of the program</w:t>
      </w:r>
    </w:p>
    <w:p w14:paraId="60EDFB22" w14:textId="4CA2C413" w:rsidR="005F01DB" w:rsidRPr="008054B6" w:rsidRDefault="004F1A8C" w:rsidP="008054B6">
      <w:pPr>
        <w:spacing w:after="0" w:line="240" w:lineRule="auto"/>
        <w:ind w:left="-360"/>
        <w:rPr>
          <w:rFonts w:cs="Times New Roman"/>
        </w:rPr>
      </w:pPr>
      <w:r w:rsidRPr="008054B6">
        <w:rPr>
          <w:rFonts w:cs="Times New Roman"/>
        </w:rPr>
        <w:t>The</w:t>
      </w:r>
      <w:r w:rsidR="00A76EB6" w:rsidRPr="008054B6">
        <w:rPr>
          <w:rFonts w:cs="Times New Roman"/>
        </w:rPr>
        <w:t xml:space="preserve"> initial </w:t>
      </w:r>
      <w:r w:rsidR="00DE46EC" w:rsidRPr="008054B6">
        <w:rPr>
          <w:rFonts w:cs="Times New Roman"/>
        </w:rPr>
        <w:t>goal of</w:t>
      </w:r>
      <w:r w:rsidRPr="008054B6">
        <w:rPr>
          <w:rFonts w:cs="Times New Roman"/>
        </w:rPr>
        <w:t xml:space="preserve"> the program was to </w:t>
      </w:r>
      <w:r w:rsidRPr="008054B6">
        <w:rPr>
          <w:rFonts w:cs="Times New Roman"/>
          <w:i/>
        </w:rPr>
        <w:t xml:space="preserve">improve the food security of </w:t>
      </w:r>
      <w:r w:rsidR="0029514F" w:rsidRPr="008054B6">
        <w:rPr>
          <w:rFonts w:cs="Times New Roman"/>
          <w:i/>
        </w:rPr>
        <w:t xml:space="preserve">IDP and local </w:t>
      </w:r>
      <w:r w:rsidRPr="008054B6">
        <w:rPr>
          <w:rFonts w:cs="Times New Roman"/>
          <w:i/>
        </w:rPr>
        <w:t>vulnerable households</w:t>
      </w:r>
      <w:r w:rsidR="00A76EB6" w:rsidRPr="008054B6">
        <w:rPr>
          <w:rFonts w:cs="Times New Roman"/>
          <w:i/>
        </w:rPr>
        <w:t xml:space="preserve"> in Kismayo</w:t>
      </w:r>
      <w:r w:rsidR="00A76EB6" w:rsidRPr="008054B6">
        <w:rPr>
          <w:rFonts w:cs="Times New Roman"/>
          <w:b/>
          <w:i/>
        </w:rPr>
        <w:t xml:space="preserve"> </w:t>
      </w:r>
      <w:r w:rsidRPr="008054B6">
        <w:rPr>
          <w:rFonts w:cs="Times New Roman"/>
        </w:rPr>
        <w:t xml:space="preserve">in a market context characterized by insecurity and </w:t>
      </w:r>
      <w:r w:rsidR="00477C99" w:rsidRPr="008054B6">
        <w:rPr>
          <w:rFonts w:cs="Times New Roman"/>
        </w:rPr>
        <w:t xml:space="preserve">in </w:t>
      </w:r>
      <w:r w:rsidR="00FF4678" w:rsidRPr="008054B6">
        <w:rPr>
          <w:rFonts w:cs="Times New Roman"/>
        </w:rPr>
        <w:t xml:space="preserve">the </w:t>
      </w:r>
      <w:r w:rsidRPr="008054B6">
        <w:rPr>
          <w:rFonts w:cs="Times New Roman"/>
        </w:rPr>
        <w:t>backdrop of protracted conflict and mass displacement in the selected program cities.</w:t>
      </w:r>
      <w:r w:rsidR="009B65D1" w:rsidRPr="008054B6">
        <w:rPr>
          <w:rFonts w:cs="Times New Roman"/>
        </w:rPr>
        <w:t xml:space="preserve">  </w:t>
      </w:r>
      <w:r w:rsidR="00A76EB6" w:rsidRPr="008054B6">
        <w:rPr>
          <w:rFonts w:cs="Times New Roman"/>
        </w:rPr>
        <w:t xml:space="preserve">The goal was later revised to </w:t>
      </w:r>
      <w:r w:rsidR="00A76EB6" w:rsidRPr="008054B6">
        <w:rPr>
          <w:rFonts w:cs="Times New Roman"/>
          <w:b/>
        </w:rPr>
        <w:t>“improve food access for IDP and local vulnerable households in Mogadishu and Baidoa”</w:t>
      </w:r>
      <w:r w:rsidR="00A76EB6" w:rsidRPr="008054B6">
        <w:rPr>
          <w:rFonts w:cs="Times New Roman"/>
        </w:rPr>
        <w:t xml:space="preserve"> </w:t>
      </w:r>
      <w:r w:rsidR="001C5596" w:rsidRPr="008054B6">
        <w:rPr>
          <w:rFonts w:cs="Times New Roman"/>
        </w:rPr>
        <w:t>as the</w:t>
      </w:r>
      <w:r w:rsidR="00A76EB6" w:rsidRPr="008054B6">
        <w:rPr>
          <w:rFonts w:cs="Times New Roman"/>
        </w:rPr>
        <w:t xml:space="preserve"> </w:t>
      </w:r>
      <w:r w:rsidR="001C5596" w:rsidRPr="008054B6">
        <w:rPr>
          <w:rFonts w:cs="Times New Roman"/>
        </w:rPr>
        <w:t>location shifted</w:t>
      </w:r>
      <w:r w:rsidR="00A76EB6" w:rsidRPr="008054B6">
        <w:rPr>
          <w:rFonts w:cs="Times New Roman"/>
        </w:rPr>
        <w:t xml:space="preserve">.  </w:t>
      </w:r>
    </w:p>
    <w:p w14:paraId="6B6D3A23" w14:textId="77777777" w:rsidR="00044C7C" w:rsidRDefault="00044C7C" w:rsidP="008054B6">
      <w:pPr>
        <w:spacing w:after="0" w:line="240" w:lineRule="auto"/>
        <w:ind w:left="-360"/>
        <w:rPr>
          <w:rFonts w:cs="Times New Roman"/>
        </w:rPr>
      </w:pPr>
    </w:p>
    <w:p w14:paraId="55722944" w14:textId="232321BC" w:rsidR="00C72871" w:rsidRPr="008054B6" w:rsidRDefault="009D717C" w:rsidP="008F12FC">
      <w:pPr>
        <w:spacing w:after="0" w:line="240" w:lineRule="auto"/>
        <w:ind w:left="-360"/>
        <w:rPr>
          <w:rFonts w:cs="Times New Roman"/>
          <w:i/>
        </w:rPr>
      </w:pPr>
      <w:r w:rsidRPr="008054B6">
        <w:rPr>
          <w:rFonts w:cs="Times New Roman"/>
          <w:i/>
        </w:rPr>
        <w:t>Project Timelines and Locations</w:t>
      </w:r>
    </w:p>
    <w:p w14:paraId="58B0AE95" w14:textId="77777777" w:rsidR="008054B6" w:rsidRDefault="009D717C" w:rsidP="008054B6">
      <w:pPr>
        <w:spacing w:after="0" w:line="240" w:lineRule="auto"/>
        <w:ind w:left="-360"/>
        <w:rPr>
          <w:rFonts w:cs="Times New Roman"/>
        </w:rPr>
      </w:pPr>
      <w:r w:rsidRPr="008054B6">
        <w:rPr>
          <w:rFonts w:cs="Times New Roman"/>
        </w:rPr>
        <w:t>In 2013, CRS, with local partner Sean Devereux Huma</w:t>
      </w:r>
      <w:r w:rsidR="001964FC" w:rsidRPr="008054B6">
        <w:rPr>
          <w:rFonts w:cs="Times New Roman"/>
        </w:rPr>
        <w:t xml:space="preserve">n Rights Organization (SEDHURO), with funding from </w:t>
      </w:r>
      <w:r w:rsidRPr="008054B6">
        <w:rPr>
          <w:rFonts w:cs="Times New Roman"/>
        </w:rPr>
        <w:t xml:space="preserve"> </w:t>
      </w:r>
      <w:r w:rsidR="00477C99" w:rsidRPr="008054B6">
        <w:rPr>
          <w:rFonts w:cs="Times New Roman"/>
        </w:rPr>
        <w:t xml:space="preserve">USAID’s </w:t>
      </w:r>
      <w:r w:rsidRPr="008054B6">
        <w:rPr>
          <w:rFonts w:cs="Times New Roman"/>
        </w:rPr>
        <w:t xml:space="preserve">Food for Peace (FFP), began a life-saving voucher program in Kismayo City that originally targeted 3,000 HHs and was later expanded to feed 2,500 IDP HHs and 2,500 local vulnerable </w:t>
      </w:r>
      <w:r w:rsidR="003F41CD" w:rsidRPr="008054B6">
        <w:rPr>
          <w:rFonts w:cs="Times New Roman"/>
        </w:rPr>
        <w:t>households</w:t>
      </w:r>
      <w:r w:rsidRPr="008054B6">
        <w:rPr>
          <w:rFonts w:cs="Times New Roman"/>
        </w:rPr>
        <w:t xml:space="preserve"> in Ki</w:t>
      </w:r>
      <w:r w:rsidR="003F41CD" w:rsidRPr="008054B6">
        <w:rPr>
          <w:rFonts w:cs="Times New Roman"/>
        </w:rPr>
        <w:t>smayo</w:t>
      </w:r>
      <w:r w:rsidR="00C007B4" w:rsidRPr="008054B6">
        <w:rPr>
          <w:rFonts w:cs="Times New Roman"/>
        </w:rPr>
        <w:t xml:space="preserve">, for a project total of </w:t>
      </w:r>
      <w:r w:rsidR="0032797A" w:rsidRPr="008054B6">
        <w:rPr>
          <w:rFonts w:cs="Times New Roman"/>
        </w:rPr>
        <w:t>5</w:t>
      </w:r>
      <w:r w:rsidR="00C007B4" w:rsidRPr="008054B6">
        <w:rPr>
          <w:rFonts w:cs="Times New Roman"/>
        </w:rPr>
        <w:t>,000 households</w:t>
      </w:r>
      <w:r w:rsidR="003F41CD" w:rsidRPr="008054B6">
        <w:rPr>
          <w:rFonts w:cs="Times New Roman"/>
        </w:rPr>
        <w:t xml:space="preserve"> (30,000 people total)</w:t>
      </w:r>
      <w:r w:rsidRPr="008054B6">
        <w:rPr>
          <w:rFonts w:cs="Times New Roman"/>
        </w:rPr>
        <w:t xml:space="preserve">. </w:t>
      </w:r>
    </w:p>
    <w:p w14:paraId="20CAA997" w14:textId="77777777" w:rsidR="008F12FC" w:rsidRDefault="008F12FC" w:rsidP="008054B6">
      <w:pPr>
        <w:spacing w:after="0" w:line="240" w:lineRule="auto"/>
        <w:ind w:left="-360"/>
        <w:rPr>
          <w:rFonts w:cs="Times New Roman"/>
        </w:rPr>
      </w:pPr>
    </w:p>
    <w:p w14:paraId="19D8D7E8" w14:textId="77777777" w:rsidR="008F12FC" w:rsidRDefault="008F12FC" w:rsidP="008054B6">
      <w:pPr>
        <w:spacing w:after="0" w:line="240" w:lineRule="auto"/>
        <w:ind w:left="-360"/>
        <w:rPr>
          <w:rFonts w:cs="Times New Roman"/>
        </w:rPr>
      </w:pPr>
    </w:p>
    <w:p w14:paraId="2EDF8ECA" w14:textId="77777777" w:rsidR="008F12FC" w:rsidRDefault="008F12FC" w:rsidP="008054B6">
      <w:pPr>
        <w:spacing w:after="0" w:line="240" w:lineRule="auto"/>
        <w:ind w:left="-360"/>
        <w:rPr>
          <w:rFonts w:cs="Times New Roman"/>
        </w:rPr>
      </w:pPr>
    </w:p>
    <w:tbl>
      <w:tblPr>
        <w:tblStyle w:val="TableGrid"/>
        <w:tblpPr w:leftFromText="180" w:rightFromText="180" w:vertAnchor="text" w:horzAnchor="margin" w:tblpXSpec="center" w:tblpY="167"/>
        <w:tblOverlap w:val="never"/>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55"/>
        <w:gridCol w:w="1350"/>
        <w:gridCol w:w="1080"/>
        <w:gridCol w:w="1170"/>
        <w:gridCol w:w="1350"/>
        <w:gridCol w:w="1440"/>
      </w:tblGrid>
      <w:tr w:rsidR="008054B6" w:rsidRPr="008054B6" w14:paraId="021DF351" w14:textId="77777777" w:rsidTr="008054B6">
        <w:tc>
          <w:tcPr>
            <w:tcW w:w="7645" w:type="dxa"/>
            <w:gridSpan w:val="6"/>
            <w:shd w:val="clear" w:color="auto" w:fill="auto"/>
            <w:vAlign w:val="center"/>
          </w:tcPr>
          <w:p w14:paraId="01CF207C" w14:textId="77777777" w:rsidR="008054B6" w:rsidRPr="008054B6" w:rsidRDefault="008054B6" w:rsidP="008054B6">
            <w:pPr>
              <w:rPr>
                <w:rFonts w:cs="Times New Roman"/>
                <w:b/>
              </w:rPr>
            </w:pPr>
            <w:r w:rsidRPr="008054B6">
              <w:rPr>
                <w:rFonts w:cs="Times New Roman"/>
                <w:b/>
              </w:rPr>
              <w:lastRenderedPageBreak/>
              <w:t>Voucher Program Timelines and Locations</w:t>
            </w:r>
          </w:p>
        </w:tc>
      </w:tr>
      <w:tr w:rsidR="008054B6" w:rsidRPr="008054B6" w14:paraId="1FD48F0B" w14:textId="77777777" w:rsidTr="008054B6">
        <w:tc>
          <w:tcPr>
            <w:tcW w:w="1255" w:type="dxa"/>
            <w:shd w:val="clear" w:color="auto" w:fill="9CC2E5" w:themeFill="accent1" w:themeFillTint="99"/>
            <w:vAlign w:val="center"/>
          </w:tcPr>
          <w:p w14:paraId="520C1BBB" w14:textId="77777777" w:rsidR="008054B6" w:rsidRPr="008054B6" w:rsidRDefault="008054B6" w:rsidP="008054B6">
            <w:pPr>
              <w:rPr>
                <w:rFonts w:cs="Times New Roman"/>
                <w:b/>
              </w:rPr>
            </w:pPr>
            <w:r w:rsidRPr="008054B6">
              <w:rPr>
                <w:rFonts w:cs="Times New Roman"/>
                <w:b/>
              </w:rPr>
              <w:t>Project site</w:t>
            </w:r>
          </w:p>
        </w:tc>
        <w:tc>
          <w:tcPr>
            <w:tcW w:w="1350" w:type="dxa"/>
            <w:shd w:val="clear" w:color="auto" w:fill="9CC2E5" w:themeFill="accent1" w:themeFillTint="99"/>
            <w:vAlign w:val="center"/>
          </w:tcPr>
          <w:p w14:paraId="3590B357" w14:textId="77777777" w:rsidR="008054B6" w:rsidRPr="008054B6" w:rsidRDefault="008054B6" w:rsidP="008054B6">
            <w:pPr>
              <w:rPr>
                <w:rFonts w:cs="Times New Roman"/>
                <w:b/>
              </w:rPr>
            </w:pPr>
            <w:r w:rsidRPr="008054B6">
              <w:rPr>
                <w:rFonts w:cs="Times New Roman"/>
                <w:b/>
              </w:rPr>
              <w:t>Local Partner</w:t>
            </w:r>
          </w:p>
        </w:tc>
        <w:tc>
          <w:tcPr>
            <w:tcW w:w="1080" w:type="dxa"/>
            <w:shd w:val="clear" w:color="auto" w:fill="9CC2E5" w:themeFill="accent1" w:themeFillTint="99"/>
            <w:vAlign w:val="center"/>
          </w:tcPr>
          <w:p w14:paraId="0B3CDDB6" w14:textId="77777777" w:rsidR="008054B6" w:rsidRPr="008054B6" w:rsidRDefault="008054B6" w:rsidP="008054B6">
            <w:pPr>
              <w:rPr>
                <w:rFonts w:cs="Times New Roman"/>
                <w:b/>
              </w:rPr>
            </w:pPr>
            <w:r w:rsidRPr="008054B6">
              <w:rPr>
                <w:rFonts w:cs="Times New Roman"/>
                <w:b/>
              </w:rPr>
              <w:t>Start</w:t>
            </w:r>
          </w:p>
        </w:tc>
        <w:tc>
          <w:tcPr>
            <w:tcW w:w="1170" w:type="dxa"/>
            <w:shd w:val="clear" w:color="auto" w:fill="9CC2E5" w:themeFill="accent1" w:themeFillTint="99"/>
            <w:vAlign w:val="center"/>
          </w:tcPr>
          <w:p w14:paraId="39123F12" w14:textId="77777777" w:rsidR="008054B6" w:rsidRPr="008054B6" w:rsidRDefault="008054B6" w:rsidP="008054B6">
            <w:pPr>
              <w:rPr>
                <w:rFonts w:cs="Times New Roman"/>
                <w:b/>
              </w:rPr>
            </w:pPr>
            <w:r w:rsidRPr="008054B6">
              <w:rPr>
                <w:rFonts w:cs="Times New Roman"/>
                <w:b/>
              </w:rPr>
              <w:t>End</w:t>
            </w:r>
          </w:p>
        </w:tc>
        <w:tc>
          <w:tcPr>
            <w:tcW w:w="1350" w:type="dxa"/>
            <w:shd w:val="clear" w:color="auto" w:fill="9CC2E5" w:themeFill="accent1" w:themeFillTint="99"/>
            <w:vAlign w:val="center"/>
          </w:tcPr>
          <w:p w14:paraId="0C0A78F9" w14:textId="77777777" w:rsidR="008054B6" w:rsidRPr="008054B6" w:rsidRDefault="008054B6" w:rsidP="008054B6">
            <w:pPr>
              <w:rPr>
                <w:rFonts w:cs="Times New Roman"/>
                <w:b/>
              </w:rPr>
            </w:pPr>
            <w:r w:rsidRPr="008054B6">
              <w:rPr>
                <w:rFonts w:cs="Times New Roman"/>
                <w:b/>
              </w:rPr>
              <w:t>Total Households</w:t>
            </w:r>
          </w:p>
        </w:tc>
        <w:tc>
          <w:tcPr>
            <w:tcW w:w="1440" w:type="dxa"/>
            <w:shd w:val="clear" w:color="auto" w:fill="9CC2E5" w:themeFill="accent1" w:themeFillTint="99"/>
            <w:vAlign w:val="center"/>
          </w:tcPr>
          <w:p w14:paraId="08CF9D5C" w14:textId="77777777" w:rsidR="008054B6" w:rsidRPr="008054B6" w:rsidRDefault="008054B6" w:rsidP="008054B6">
            <w:pPr>
              <w:rPr>
                <w:rFonts w:cs="Times New Roman"/>
                <w:b/>
              </w:rPr>
            </w:pPr>
            <w:r w:rsidRPr="008054B6">
              <w:rPr>
                <w:rFonts w:cs="Times New Roman"/>
                <w:b/>
              </w:rPr>
              <w:t>Total Beneficiaries</w:t>
            </w:r>
          </w:p>
        </w:tc>
      </w:tr>
      <w:tr w:rsidR="008054B6" w:rsidRPr="008054B6" w14:paraId="1A298BE5" w14:textId="77777777" w:rsidTr="008054B6">
        <w:trPr>
          <w:trHeight w:val="170"/>
        </w:trPr>
        <w:tc>
          <w:tcPr>
            <w:tcW w:w="1255" w:type="dxa"/>
            <w:shd w:val="clear" w:color="auto" w:fill="D5DCE4" w:themeFill="text2" w:themeFillTint="33"/>
          </w:tcPr>
          <w:p w14:paraId="38804A73" w14:textId="77777777" w:rsidR="008054B6" w:rsidRPr="008054B6" w:rsidRDefault="008054B6" w:rsidP="008054B6">
            <w:pPr>
              <w:rPr>
                <w:rFonts w:cs="Times New Roman"/>
              </w:rPr>
            </w:pPr>
            <w:r w:rsidRPr="008054B6">
              <w:rPr>
                <w:rFonts w:cs="Times New Roman"/>
              </w:rPr>
              <w:t>Kismayo</w:t>
            </w:r>
          </w:p>
        </w:tc>
        <w:tc>
          <w:tcPr>
            <w:tcW w:w="1350" w:type="dxa"/>
            <w:shd w:val="clear" w:color="auto" w:fill="D5DCE4" w:themeFill="text2" w:themeFillTint="33"/>
          </w:tcPr>
          <w:p w14:paraId="2CB4F31F" w14:textId="77777777" w:rsidR="008054B6" w:rsidRPr="008054B6" w:rsidRDefault="008054B6" w:rsidP="008054B6">
            <w:pPr>
              <w:rPr>
                <w:rFonts w:cs="Times New Roman"/>
              </w:rPr>
            </w:pPr>
            <w:r w:rsidRPr="008054B6">
              <w:rPr>
                <w:rFonts w:cs="Times New Roman"/>
              </w:rPr>
              <w:t>SEDHURO</w:t>
            </w:r>
          </w:p>
        </w:tc>
        <w:tc>
          <w:tcPr>
            <w:tcW w:w="1080" w:type="dxa"/>
            <w:shd w:val="clear" w:color="auto" w:fill="D5DCE4" w:themeFill="text2" w:themeFillTint="33"/>
          </w:tcPr>
          <w:p w14:paraId="34DFC1D5" w14:textId="77777777" w:rsidR="008054B6" w:rsidRPr="008054B6" w:rsidRDefault="008054B6" w:rsidP="008054B6">
            <w:pPr>
              <w:rPr>
                <w:rFonts w:cs="Times New Roman"/>
              </w:rPr>
            </w:pPr>
            <w:r w:rsidRPr="008054B6">
              <w:rPr>
                <w:rFonts w:cs="Times New Roman"/>
              </w:rPr>
              <w:t>Jan 2013</w:t>
            </w:r>
          </w:p>
        </w:tc>
        <w:tc>
          <w:tcPr>
            <w:tcW w:w="1170" w:type="dxa"/>
            <w:shd w:val="clear" w:color="auto" w:fill="D5DCE4" w:themeFill="text2" w:themeFillTint="33"/>
          </w:tcPr>
          <w:p w14:paraId="071BCC7E" w14:textId="77777777" w:rsidR="008054B6" w:rsidRPr="008054B6" w:rsidRDefault="008054B6" w:rsidP="008054B6">
            <w:pPr>
              <w:rPr>
                <w:rFonts w:cs="Times New Roman"/>
              </w:rPr>
            </w:pPr>
            <w:r w:rsidRPr="008054B6">
              <w:rPr>
                <w:rFonts w:cs="Times New Roman"/>
              </w:rPr>
              <w:t>Dec 2013</w:t>
            </w:r>
          </w:p>
        </w:tc>
        <w:tc>
          <w:tcPr>
            <w:tcW w:w="1350" w:type="dxa"/>
            <w:shd w:val="clear" w:color="auto" w:fill="D5DCE4" w:themeFill="text2" w:themeFillTint="33"/>
          </w:tcPr>
          <w:p w14:paraId="5080B585" w14:textId="77777777" w:rsidR="008054B6" w:rsidRPr="008054B6" w:rsidRDefault="008054B6" w:rsidP="008054B6">
            <w:pPr>
              <w:rPr>
                <w:rFonts w:cs="Times New Roman"/>
              </w:rPr>
            </w:pPr>
            <w:r w:rsidRPr="008054B6">
              <w:rPr>
                <w:rFonts w:cs="Times New Roman"/>
              </w:rPr>
              <w:t>5,000</w:t>
            </w:r>
          </w:p>
        </w:tc>
        <w:tc>
          <w:tcPr>
            <w:tcW w:w="1440" w:type="dxa"/>
            <w:shd w:val="clear" w:color="auto" w:fill="D5DCE4" w:themeFill="text2" w:themeFillTint="33"/>
          </w:tcPr>
          <w:p w14:paraId="74C08E8C" w14:textId="77777777" w:rsidR="008054B6" w:rsidRPr="008054B6" w:rsidRDefault="008054B6" w:rsidP="008054B6">
            <w:pPr>
              <w:rPr>
                <w:rFonts w:cs="Times New Roman"/>
              </w:rPr>
            </w:pPr>
            <w:r w:rsidRPr="008054B6">
              <w:rPr>
                <w:rFonts w:cs="Times New Roman"/>
              </w:rPr>
              <w:t>30,000</w:t>
            </w:r>
          </w:p>
        </w:tc>
      </w:tr>
      <w:tr w:rsidR="008054B6" w:rsidRPr="008054B6" w14:paraId="2FE36807" w14:textId="77777777" w:rsidTr="008054B6">
        <w:tc>
          <w:tcPr>
            <w:tcW w:w="1255" w:type="dxa"/>
            <w:shd w:val="clear" w:color="auto" w:fill="F2F2F2" w:themeFill="background1" w:themeFillShade="F2"/>
          </w:tcPr>
          <w:p w14:paraId="46E88D68" w14:textId="77777777" w:rsidR="008054B6" w:rsidRPr="008054B6" w:rsidRDefault="008054B6" w:rsidP="008054B6">
            <w:pPr>
              <w:rPr>
                <w:rFonts w:cs="Times New Roman"/>
              </w:rPr>
            </w:pPr>
            <w:r w:rsidRPr="008054B6">
              <w:rPr>
                <w:rFonts w:cs="Times New Roman"/>
              </w:rPr>
              <w:t>Baidoa</w:t>
            </w:r>
          </w:p>
        </w:tc>
        <w:tc>
          <w:tcPr>
            <w:tcW w:w="1350" w:type="dxa"/>
            <w:shd w:val="clear" w:color="auto" w:fill="F2F2F2" w:themeFill="background1" w:themeFillShade="F2"/>
          </w:tcPr>
          <w:p w14:paraId="6285B7FB" w14:textId="77777777" w:rsidR="008054B6" w:rsidRPr="008054B6" w:rsidRDefault="008054B6" w:rsidP="008054B6">
            <w:pPr>
              <w:rPr>
                <w:rFonts w:cs="Times New Roman"/>
              </w:rPr>
            </w:pPr>
            <w:r w:rsidRPr="008054B6">
              <w:rPr>
                <w:rFonts w:cs="Times New Roman"/>
              </w:rPr>
              <w:t>SADO</w:t>
            </w:r>
          </w:p>
        </w:tc>
        <w:tc>
          <w:tcPr>
            <w:tcW w:w="1080" w:type="dxa"/>
            <w:shd w:val="clear" w:color="auto" w:fill="F2F2F2" w:themeFill="background1" w:themeFillShade="F2"/>
          </w:tcPr>
          <w:p w14:paraId="3EEFF2EC" w14:textId="77777777" w:rsidR="008054B6" w:rsidRPr="008054B6" w:rsidRDefault="008054B6" w:rsidP="008054B6">
            <w:pPr>
              <w:rPr>
                <w:rFonts w:cs="Times New Roman"/>
              </w:rPr>
            </w:pPr>
            <w:r w:rsidRPr="008054B6">
              <w:rPr>
                <w:rFonts w:cs="Times New Roman"/>
              </w:rPr>
              <w:t>Feb 2014</w:t>
            </w:r>
          </w:p>
        </w:tc>
        <w:tc>
          <w:tcPr>
            <w:tcW w:w="1170" w:type="dxa"/>
            <w:shd w:val="clear" w:color="auto" w:fill="F2F2F2" w:themeFill="background1" w:themeFillShade="F2"/>
          </w:tcPr>
          <w:p w14:paraId="1647204D" w14:textId="77777777" w:rsidR="008054B6" w:rsidRPr="008054B6" w:rsidRDefault="008054B6" w:rsidP="008054B6">
            <w:pPr>
              <w:rPr>
                <w:rFonts w:cs="Times New Roman"/>
              </w:rPr>
            </w:pPr>
            <w:r w:rsidRPr="008054B6">
              <w:rPr>
                <w:rFonts w:cs="Times New Roman"/>
              </w:rPr>
              <w:t>Aug 2014</w:t>
            </w:r>
          </w:p>
        </w:tc>
        <w:tc>
          <w:tcPr>
            <w:tcW w:w="1350" w:type="dxa"/>
            <w:shd w:val="clear" w:color="auto" w:fill="F2F2F2" w:themeFill="background1" w:themeFillShade="F2"/>
          </w:tcPr>
          <w:p w14:paraId="41AEF846" w14:textId="77777777" w:rsidR="008054B6" w:rsidRPr="008054B6" w:rsidRDefault="008054B6" w:rsidP="008054B6">
            <w:pPr>
              <w:rPr>
                <w:rFonts w:cs="Times New Roman"/>
              </w:rPr>
            </w:pPr>
            <w:r w:rsidRPr="008054B6">
              <w:rPr>
                <w:rFonts w:cs="Times New Roman"/>
              </w:rPr>
              <w:t>6,000</w:t>
            </w:r>
          </w:p>
        </w:tc>
        <w:tc>
          <w:tcPr>
            <w:tcW w:w="1440" w:type="dxa"/>
            <w:shd w:val="clear" w:color="auto" w:fill="F2F2F2" w:themeFill="background1" w:themeFillShade="F2"/>
          </w:tcPr>
          <w:p w14:paraId="70776826" w14:textId="77777777" w:rsidR="008054B6" w:rsidRPr="008054B6" w:rsidRDefault="008054B6" w:rsidP="008054B6">
            <w:pPr>
              <w:rPr>
                <w:rFonts w:cs="Times New Roman"/>
              </w:rPr>
            </w:pPr>
            <w:r w:rsidRPr="008054B6">
              <w:rPr>
                <w:rFonts w:cs="Times New Roman"/>
              </w:rPr>
              <w:t>36,000</w:t>
            </w:r>
          </w:p>
        </w:tc>
      </w:tr>
      <w:tr w:rsidR="008054B6" w:rsidRPr="008054B6" w14:paraId="69A5500C" w14:textId="77777777" w:rsidTr="008054B6">
        <w:tc>
          <w:tcPr>
            <w:tcW w:w="1255" w:type="dxa"/>
            <w:shd w:val="clear" w:color="auto" w:fill="D5DCE4" w:themeFill="text2" w:themeFillTint="33"/>
          </w:tcPr>
          <w:p w14:paraId="421A8F83" w14:textId="77777777" w:rsidR="008054B6" w:rsidRPr="008054B6" w:rsidRDefault="008054B6" w:rsidP="008054B6">
            <w:pPr>
              <w:rPr>
                <w:rFonts w:cs="Times New Roman"/>
              </w:rPr>
            </w:pPr>
            <w:r w:rsidRPr="008054B6">
              <w:rPr>
                <w:rFonts w:cs="Times New Roman"/>
              </w:rPr>
              <w:t>Mogadishu</w:t>
            </w:r>
          </w:p>
        </w:tc>
        <w:tc>
          <w:tcPr>
            <w:tcW w:w="1350" w:type="dxa"/>
            <w:shd w:val="clear" w:color="auto" w:fill="D5DCE4" w:themeFill="text2" w:themeFillTint="33"/>
          </w:tcPr>
          <w:p w14:paraId="10006C8F" w14:textId="77777777" w:rsidR="008054B6" w:rsidRPr="008054B6" w:rsidRDefault="008054B6" w:rsidP="008054B6">
            <w:pPr>
              <w:rPr>
                <w:rFonts w:cs="Times New Roman"/>
              </w:rPr>
            </w:pPr>
            <w:r w:rsidRPr="008054B6">
              <w:rPr>
                <w:rFonts w:cs="Times New Roman"/>
              </w:rPr>
              <w:t>MURDO</w:t>
            </w:r>
          </w:p>
        </w:tc>
        <w:tc>
          <w:tcPr>
            <w:tcW w:w="1080" w:type="dxa"/>
            <w:shd w:val="clear" w:color="auto" w:fill="D5DCE4" w:themeFill="text2" w:themeFillTint="33"/>
          </w:tcPr>
          <w:p w14:paraId="7B5166DD" w14:textId="77777777" w:rsidR="008054B6" w:rsidRPr="008054B6" w:rsidRDefault="008054B6" w:rsidP="008054B6">
            <w:pPr>
              <w:rPr>
                <w:rFonts w:cs="Times New Roman"/>
              </w:rPr>
            </w:pPr>
            <w:r w:rsidRPr="008054B6">
              <w:rPr>
                <w:rFonts w:cs="Times New Roman"/>
              </w:rPr>
              <w:t>Jan 2014</w:t>
            </w:r>
          </w:p>
        </w:tc>
        <w:tc>
          <w:tcPr>
            <w:tcW w:w="1170" w:type="dxa"/>
            <w:shd w:val="clear" w:color="auto" w:fill="D5DCE4" w:themeFill="text2" w:themeFillTint="33"/>
          </w:tcPr>
          <w:p w14:paraId="7CE41FF9" w14:textId="77777777" w:rsidR="008054B6" w:rsidRPr="008054B6" w:rsidRDefault="008054B6" w:rsidP="008054B6">
            <w:pPr>
              <w:rPr>
                <w:rFonts w:cs="Times New Roman"/>
              </w:rPr>
            </w:pPr>
            <w:r w:rsidRPr="008054B6">
              <w:rPr>
                <w:rFonts w:cs="Times New Roman"/>
              </w:rPr>
              <w:t>Dec 2014</w:t>
            </w:r>
          </w:p>
        </w:tc>
        <w:tc>
          <w:tcPr>
            <w:tcW w:w="1350" w:type="dxa"/>
            <w:shd w:val="clear" w:color="auto" w:fill="D5DCE4" w:themeFill="text2" w:themeFillTint="33"/>
          </w:tcPr>
          <w:p w14:paraId="56AB7EAE" w14:textId="77777777" w:rsidR="008054B6" w:rsidRPr="008054B6" w:rsidRDefault="008054B6" w:rsidP="008054B6">
            <w:pPr>
              <w:rPr>
                <w:rFonts w:cs="Times New Roman"/>
              </w:rPr>
            </w:pPr>
            <w:r w:rsidRPr="008054B6">
              <w:rPr>
                <w:rFonts w:cs="Times New Roman"/>
              </w:rPr>
              <w:t>6,000</w:t>
            </w:r>
          </w:p>
        </w:tc>
        <w:tc>
          <w:tcPr>
            <w:tcW w:w="1440" w:type="dxa"/>
            <w:shd w:val="clear" w:color="auto" w:fill="D5DCE4" w:themeFill="text2" w:themeFillTint="33"/>
          </w:tcPr>
          <w:p w14:paraId="0C27B05B" w14:textId="77777777" w:rsidR="008054B6" w:rsidRPr="008054B6" w:rsidRDefault="008054B6" w:rsidP="008054B6">
            <w:pPr>
              <w:rPr>
                <w:rFonts w:cs="Times New Roman"/>
              </w:rPr>
            </w:pPr>
            <w:r w:rsidRPr="008054B6">
              <w:rPr>
                <w:rFonts w:cs="Times New Roman"/>
              </w:rPr>
              <w:t>36,000</w:t>
            </w:r>
          </w:p>
        </w:tc>
      </w:tr>
    </w:tbl>
    <w:p w14:paraId="1787D3BB" w14:textId="77777777" w:rsidR="008054B6" w:rsidRDefault="008054B6" w:rsidP="008054B6">
      <w:pPr>
        <w:spacing w:after="0" w:line="240" w:lineRule="auto"/>
        <w:ind w:left="-360"/>
        <w:rPr>
          <w:rFonts w:cs="Times New Roman"/>
        </w:rPr>
      </w:pPr>
    </w:p>
    <w:p w14:paraId="05FCD705" w14:textId="77777777" w:rsidR="008054B6" w:rsidRDefault="008054B6" w:rsidP="008054B6">
      <w:pPr>
        <w:spacing w:after="0" w:line="240" w:lineRule="auto"/>
        <w:ind w:left="-360"/>
        <w:rPr>
          <w:rFonts w:cs="Times New Roman"/>
        </w:rPr>
      </w:pPr>
    </w:p>
    <w:p w14:paraId="4FD19B8E" w14:textId="77777777" w:rsidR="008054B6" w:rsidRDefault="008054B6" w:rsidP="008054B6">
      <w:pPr>
        <w:spacing w:after="0" w:line="240" w:lineRule="auto"/>
        <w:ind w:left="-360"/>
        <w:rPr>
          <w:rFonts w:cs="Times New Roman"/>
        </w:rPr>
      </w:pPr>
    </w:p>
    <w:p w14:paraId="37496E07" w14:textId="77777777" w:rsidR="008054B6" w:rsidRDefault="008054B6" w:rsidP="008054B6">
      <w:pPr>
        <w:spacing w:after="0" w:line="240" w:lineRule="auto"/>
        <w:ind w:left="-360"/>
        <w:rPr>
          <w:rFonts w:cs="Times New Roman"/>
        </w:rPr>
      </w:pPr>
    </w:p>
    <w:p w14:paraId="170EDB69" w14:textId="77777777" w:rsidR="008054B6" w:rsidRDefault="008054B6" w:rsidP="008054B6">
      <w:pPr>
        <w:spacing w:after="0" w:line="240" w:lineRule="auto"/>
        <w:ind w:left="-360"/>
        <w:jc w:val="center"/>
        <w:rPr>
          <w:rFonts w:cs="Times New Roman"/>
        </w:rPr>
      </w:pPr>
    </w:p>
    <w:p w14:paraId="30040EF5" w14:textId="77777777" w:rsidR="008054B6" w:rsidRDefault="008054B6" w:rsidP="008054B6">
      <w:pPr>
        <w:spacing w:after="0" w:line="240" w:lineRule="auto"/>
        <w:ind w:left="-360"/>
        <w:rPr>
          <w:rFonts w:cs="Times New Roman"/>
        </w:rPr>
      </w:pPr>
    </w:p>
    <w:p w14:paraId="26BE8F3E" w14:textId="77777777" w:rsidR="008054B6" w:rsidRDefault="008054B6" w:rsidP="008054B6">
      <w:pPr>
        <w:spacing w:after="0" w:line="240" w:lineRule="auto"/>
        <w:ind w:left="-360"/>
        <w:rPr>
          <w:rFonts w:cs="Times New Roman"/>
        </w:rPr>
      </w:pPr>
    </w:p>
    <w:p w14:paraId="778A06E0" w14:textId="77777777" w:rsidR="008054B6" w:rsidRDefault="008054B6" w:rsidP="008054B6">
      <w:pPr>
        <w:spacing w:after="0" w:line="240" w:lineRule="auto"/>
        <w:ind w:left="-360"/>
        <w:rPr>
          <w:rFonts w:cs="Times New Roman"/>
        </w:rPr>
      </w:pPr>
    </w:p>
    <w:p w14:paraId="554471C3" w14:textId="0D2675F4" w:rsidR="009D717C" w:rsidRPr="008054B6" w:rsidRDefault="00191F6D" w:rsidP="008054B6">
      <w:pPr>
        <w:spacing w:after="0" w:line="240" w:lineRule="auto"/>
        <w:ind w:left="-360"/>
        <w:rPr>
          <w:rFonts w:cs="Times New Roman"/>
        </w:rPr>
      </w:pPr>
      <w:r w:rsidRPr="008054B6">
        <w:rPr>
          <w:rFonts w:cs="Times New Roman"/>
        </w:rPr>
        <w:t>Security concerns resulted in the cancellation of Kismayo programming, and subsequently, v</w:t>
      </w:r>
      <w:r w:rsidR="007E3CFE" w:rsidRPr="008054B6">
        <w:rPr>
          <w:rFonts w:cs="Times New Roman"/>
        </w:rPr>
        <w:t xml:space="preserve">oucher-based food assistance activities </w:t>
      </w:r>
      <w:r w:rsidR="00477C99" w:rsidRPr="008054B6">
        <w:rPr>
          <w:rFonts w:cs="Times New Roman"/>
        </w:rPr>
        <w:t xml:space="preserve">shifted to </w:t>
      </w:r>
      <w:r w:rsidR="007E3CFE" w:rsidRPr="008054B6">
        <w:rPr>
          <w:rFonts w:cs="Times New Roman"/>
        </w:rPr>
        <w:t>both Baidoa</w:t>
      </w:r>
      <w:r w:rsidR="0032797A" w:rsidRPr="008054B6">
        <w:rPr>
          <w:rFonts w:cs="Times New Roman"/>
        </w:rPr>
        <w:t xml:space="preserve">, in partnership with local partner SADO, </w:t>
      </w:r>
      <w:r w:rsidR="007E3CFE" w:rsidRPr="008054B6">
        <w:rPr>
          <w:rFonts w:cs="Times New Roman"/>
        </w:rPr>
        <w:t>and later, Mogadishu</w:t>
      </w:r>
      <w:r w:rsidR="0032797A" w:rsidRPr="008054B6">
        <w:rPr>
          <w:rFonts w:cs="Times New Roman"/>
        </w:rPr>
        <w:t>, with local partner MURDO</w:t>
      </w:r>
      <w:r w:rsidR="007E3CFE" w:rsidRPr="008054B6">
        <w:rPr>
          <w:rFonts w:cs="Times New Roman"/>
        </w:rPr>
        <w:t xml:space="preserve"> through December 2014.</w:t>
      </w:r>
      <w:r w:rsidR="009D717C" w:rsidRPr="008054B6">
        <w:rPr>
          <w:rFonts w:cs="Times New Roman"/>
        </w:rPr>
        <w:t xml:space="preserve"> </w:t>
      </w:r>
    </w:p>
    <w:p w14:paraId="053EABF2" w14:textId="77777777" w:rsidR="00461CD4" w:rsidRPr="008054B6" w:rsidRDefault="00461CD4" w:rsidP="008054B6">
      <w:pPr>
        <w:spacing w:after="0" w:line="240" w:lineRule="auto"/>
        <w:ind w:left="-360"/>
        <w:rPr>
          <w:rFonts w:cs="Times New Roman"/>
        </w:rPr>
      </w:pPr>
    </w:p>
    <w:p w14:paraId="5BFB7D39" w14:textId="77777777" w:rsidR="00072F8B" w:rsidRPr="008054B6" w:rsidRDefault="00072F8B" w:rsidP="008054B6">
      <w:pPr>
        <w:spacing w:after="0" w:line="240" w:lineRule="auto"/>
        <w:ind w:left="-360"/>
        <w:rPr>
          <w:rFonts w:cs="Times New Roman"/>
          <w:i/>
        </w:rPr>
      </w:pPr>
      <w:r w:rsidRPr="008054B6">
        <w:rPr>
          <w:rFonts w:cs="Times New Roman"/>
          <w:i/>
        </w:rPr>
        <w:t>Beneficiary selection and targeting</w:t>
      </w:r>
    </w:p>
    <w:tbl>
      <w:tblPr>
        <w:tblStyle w:val="TableGrid"/>
        <w:tblpPr w:leftFromText="180" w:rightFromText="180" w:vertAnchor="text" w:horzAnchor="margin" w:tblpXSpec="right" w:tblpY="30"/>
        <w:tblOverlap w:val="never"/>
        <w:tblW w:w="0" w:type="auto"/>
        <w:shd w:val="clear" w:color="auto" w:fill="BDD6EE" w:themeFill="accent1" w:themeFillTint="66"/>
        <w:tblLook w:val="04A0" w:firstRow="1" w:lastRow="0" w:firstColumn="1" w:lastColumn="0" w:noHBand="0" w:noVBand="1"/>
      </w:tblPr>
      <w:tblGrid>
        <w:gridCol w:w="3816"/>
      </w:tblGrid>
      <w:tr w:rsidR="001964FC" w:rsidRPr="008054B6" w14:paraId="2E4D2BBC" w14:textId="77777777" w:rsidTr="008054B6">
        <w:tc>
          <w:tcPr>
            <w:tcW w:w="3816" w:type="dxa"/>
            <w:shd w:val="clear" w:color="auto" w:fill="BDD6EE" w:themeFill="accent1" w:themeFillTint="66"/>
          </w:tcPr>
          <w:p w14:paraId="2F997C95" w14:textId="77777777" w:rsidR="001964FC" w:rsidRPr="008054B6" w:rsidRDefault="001964FC" w:rsidP="008054B6">
            <w:pPr>
              <w:pStyle w:val="ListParagraph"/>
              <w:ind w:left="-360" w:firstLine="360"/>
              <w:rPr>
                <w:rFonts w:cs="Times New Roman"/>
                <w:b/>
              </w:rPr>
            </w:pPr>
            <w:r w:rsidRPr="008054B6">
              <w:rPr>
                <w:rFonts w:cs="Times New Roman"/>
                <w:b/>
              </w:rPr>
              <w:t>Beneficiary Selection Criteria</w:t>
            </w:r>
          </w:p>
        </w:tc>
      </w:tr>
      <w:tr w:rsidR="001964FC" w:rsidRPr="008054B6" w14:paraId="4791A641" w14:textId="77777777" w:rsidTr="008054B6">
        <w:trPr>
          <w:trHeight w:val="453"/>
        </w:trPr>
        <w:tc>
          <w:tcPr>
            <w:tcW w:w="3816" w:type="dxa"/>
            <w:vMerge w:val="restart"/>
            <w:shd w:val="clear" w:color="auto" w:fill="DEEAF6" w:themeFill="accent1" w:themeFillTint="33"/>
          </w:tcPr>
          <w:p w14:paraId="61938956" w14:textId="77777777" w:rsidR="001964FC" w:rsidRPr="008054B6" w:rsidRDefault="001964FC" w:rsidP="008054B6">
            <w:pPr>
              <w:pStyle w:val="ListParagraph"/>
              <w:numPr>
                <w:ilvl w:val="0"/>
                <w:numId w:val="23"/>
              </w:numPr>
              <w:ind w:left="427"/>
              <w:rPr>
                <w:rFonts w:cs="Times New Roman"/>
              </w:rPr>
            </w:pPr>
            <w:r w:rsidRPr="008054B6">
              <w:rPr>
                <w:rFonts w:cs="Times New Roman"/>
              </w:rPr>
              <w:t>Disabled-headed households</w:t>
            </w:r>
          </w:p>
          <w:p w14:paraId="7408915D" w14:textId="77777777" w:rsidR="001964FC" w:rsidRPr="008054B6" w:rsidRDefault="001964FC" w:rsidP="008054B6">
            <w:pPr>
              <w:pStyle w:val="ListParagraph"/>
              <w:numPr>
                <w:ilvl w:val="0"/>
                <w:numId w:val="23"/>
              </w:numPr>
              <w:ind w:left="427"/>
              <w:rPr>
                <w:rFonts w:cs="Times New Roman"/>
              </w:rPr>
            </w:pPr>
            <w:r w:rsidRPr="008054B6">
              <w:rPr>
                <w:rFonts w:cs="Times New Roman"/>
              </w:rPr>
              <w:t>Households with orphaned children</w:t>
            </w:r>
          </w:p>
          <w:p w14:paraId="07BD96EC" w14:textId="77777777" w:rsidR="001964FC" w:rsidRPr="008054B6" w:rsidRDefault="001964FC" w:rsidP="008054B6">
            <w:pPr>
              <w:pStyle w:val="ListParagraph"/>
              <w:numPr>
                <w:ilvl w:val="0"/>
                <w:numId w:val="23"/>
              </w:numPr>
              <w:ind w:left="427"/>
              <w:rPr>
                <w:rFonts w:cs="Times New Roman"/>
              </w:rPr>
            </w:pPr>
            <w:r w:rsidRPr="008054B6">
              <w:rPr>
                <w:rFonts w:cs="Times New Roman"/>
              </w:rPr>
              <w:t>Households with EVIs</w:t>
            </w:r>
          </w:p>
          <w:p w14:paraId="0F539236" w14:textId="77777777" w:rsidR="001964FC" w:rsidRPr="008054B6" w:rsidRDefault="001964FC" w:rsidP="008054B6">
            <w:pPr>
              <w:pStyle w:val="ListParagraph"/>
              <w:numPr>
                <w:ilvl w:val="0"/>
                <w:numId w:val="23"/>
              </w:numPr>
              <w:ind w:left="427"/>
              <w:rPr>
                <w:rFonts w:cs="Times New Roman"/>
              </w:rPr>
            </w:pPr>
            <w:r w:rsidRPr="008054B6">
              <w:rPr>
                <w:rFonts w:cs="Times New Roman"/>
              </w:rPr>
              <w:t>Female headed households</w:t>
            </w:r>
          </w:p>
          <w:p w14:paraId="141CD71E" w14:textId="77777777" w:rsidR="001964FC" w:rsidRPr="008054B6" w:rsidRDefault="001964FC" w:rsidP="008054B6">
            <w:pPr>
              <w:pStyle w:val="ListParagraph"/>
              <w:numPr>
                <w:ilvl w:val="0"/>
                <w:numId w:val="23"/>
              </w:numPr>
              <w:ind w:left="427"/>
              <w:rPr>
                <w:rFonts w:cs="Times New Roman"/>
              </w:rPr>
            </w:pPr>
            <w:r w:rsidRPr="008054B6">
              <w:rPr>
                <w:rFonts w:cs="Times New Roman"/>
              </w:rPr>
              <w:t xml:space="preserve">Widows </w:t>
            </w:r>
          </w:p>
          <w:p w14:paraId="317567E6" w14:textId="77777777" w:rsidR="001964FC" w:rsidRPr="008054B6" w:rsidRDefault="001964FC" w:rsidP="008054B6">
            <w:pPr>
              <w:pStyle w:val="ListParagraph"/>
              <w:numPr>
                <w:ilvl w:val="0"/>
                <w:numId w:val="23"/>
              </w:numPr>
              <w:ind w:left="427"/>
              <w:rPr>
                <w:rFonts w:cs="Times New Roman"/>
              </w:rPr>
            </w:pPr>
            <w:r w:rsidRPr="008054B6">
              <w:rPr>
                <w:rFonts w:cs="Times New Roman"/>
              </w:rPr>
              <w:t>Large extended families without income</w:t>
            </w:r>
          </w:p>
          <w:p w14:paraId="001FBFC5" w14:textId="77777777" w:rsidR="001964FC" w:rsidRPr="008054B6" w:rsidRDefault="001964FC" w:rsidP="008054B6">
            <w:pPr>
              <w:pStyle w:val="ListParagraph"/>
              <w:numPr>
                <w:ilvl w:val="0"/>
                <w:numId w:val="23"/>
              </w:numPr>
              <w:ind w:left="427"/>
              <w:rPr>
                <w:rFonts w:cs="Times New Roman"/>
              </w:rPr>
            </w:pPr>
            <w:r w:rsidRPr="008054B6">
              <w:rPr>
                <w:rFonts w:cs="Times New Roman"/>
              </w:rPr>
              <w:t>Households with children under 5 years</w:t>
            </w:r>
          </w:p>
          <w:p w14:paraId="5D0C9A8B" w14:textId="77777777" w:rsidR="001964FC" w:rsidRPr="008054B6" w:rsidRDefault="001964FC" w:rsidP="008054B6">
            <w:pPr>
              <w:pStyle w:val="ListParagraph"/>
              <w:numPr>
                <w:ilvl w:val="0"/>
                <w:numId w:val="23"/>
              </w:numPr>
              <w:ind w:left="427"/>
              <w:rPr>
                <w:rFonts w:cs="Times New Roman"/>
              </w:rPr>
            </w:pPr>
            <w:r w:rsidRPr="008054B6">
              <w:rPr>
                <w:rFonts w:cs="Times New Roman"/>
              </w:rPr>
              <w:t>Displacement status and duration</w:t>
            </w:r>
          </w:p>
        </w:tc>
      </w:tr>
      <w:tr w:rsidR="001964FC" w:rsidRPr="008054B6" w14:paraId="629782ED" w14:textId="77777777" w:rsidTr="008054B6">
        <w:trPr>
          <w:trHeight w:val="1805"/>
        </w:trPr>
        <w:tc>
          <w:tcPr>
            <w:tcW w:w="3816" w:type="dxa"/>
            <w:vMerge/>
            <w:shd w:val="clear" w:color="auto" w:fill="DEEAF6" w:themeFill="accent1" w:themeFillTint="33"/>
          </w:tcPr>
          <w:p w14:paraId="39A3F916" w14:textId="77777777" w:rsidR="001964FC" w:rsidRPr="008054B6" w:rsidRDefault="001964FC" w:rsidP="008054B6">
            <w:pPr>
              <w:pStyle w:val="ListParagraph"/>
              <w:ind w:left="-360"/>
              <w:rPr>
                <w:rFonts w:cs="Times New Roman"/>
              </w:rPr>
            </w:pPr>
          </w:p>
        </w:tc>
      </w:tr>
    </w:tbl>
    <w:p w14:paraId="5C29CD00" w14:textId="7470A1DB" w:rsidR="00E5354C" w:rsidRPr="008054B6" w:rsidRDefault="007E3CFE" w:rsidP="008054B6">
      <w:pPr>
        <w:pStyle w:val="ListParagraph"/>
        <w:spacing w:after="0" w:line="240" w:lineRule="auto"/>
        <w:ind w:left="-360"/>
        <w:rPr>
          <w:rFonts w:cs="Times New Roman"/>
        </w:rPr>
      </w:pPr>
      <w:r w:rsidRPr="008054B6">
        <w:rPr>
          <w:rFonts w:cs="Times New Roman"/>
        </w:rPr>
        <w:t>Voucher activities in all three urban locations targeted the most vulnerable members of both IDP and host communities</w:t>
      </w:r>
      <w:r w:rsidR="00456819" w:rsidRPr="008054B6">
        <w:rPr>
          <w:rFonts w:cs="Times New Roman"/>
        </w:rPr>
        <w:t>,</w:t>
      </w:r>
      <w:r w:rsidR="00FF4678" w:rsidRPr="008054B6">
        <w:rPr>
          <w:rFonts w:cs="Times New Roman"/>
        </w:rPr>
        <w:t xml:space="preserve"> specifically</w:t>
      </w:r>
      <w:r w:rsidR="00A96BE3" w:rsidRPr="008054B6">
        <w:rPr>
          <w:rFonts w:cs="Times New Roman"/>
        </w:rPr>
        <w:t xml:space="preserve"> households most at risk of acute food insecurity, especially during the lean season</w:t>
      </w:r>
      <w:r w:rsidRPr="008054B6">
        <w:rPr>
          <w:rFonts w:cs="Times New Roman"/>
        </w:rPr>
        <w:t xml:space="preserve">.  </w:t>
      </w:r>
      <w:r w:rsidR="00FF4678" w:rsidRPr="008054B6">
        <w:rPr>
          <w:rFonts w:cs="Times New Roman"/>
        </w:rPr>
        <w:t xml:space="preserve">Typically, this </w:t>
      </w:r>
      <w:r w:rsidR="00A96BE3" w:rsidRPr="008054B6">
        <w:rPr>
          <w:rFonts w:cs="Times New Roman"/>
        </w:rPr>
        <w:t>included</w:t>
      </w:r>
      <w:r w:rsidR="00FF4678" w:rsidRPr="008054B6">
        <w:rPr>
          <w:rFonts w:cs="Times New Roman"/>
        </w:rPr>
        <w:t xml:space="preserve"> household with restricted or no means of income. </w:t>
      </w:r>
      <w:r w:rsidR="00F708E8" w:rsidRPr="008054B6">
        <w:rPr>
          <w:rFonts w:cs="Times New Roman"/>
        </w:rPr>
        <w:t xml:space="preserve">Female headed households, households with young children, widowed households, child headed households, and households with elderly </w:t>
      </w:r>
      <w:r w:rsidR="00A96BE3" w:rsidRPr="008054B6">
        <w:rPr>
          <w:rFonts w:cs="Times New Roman"/>
        </w:rPr>
        <w:t>members</w:t>
      </w:r>
      <w:r w:rsidR="00F708E8" w:rsidRPr="008054B6">
        <w:rPr>
          <w:rFonts w:cs="Times New Roman"/>
        </w:rPr>
        <w:t xml:space="preserve"> were the primary beneficiaries of the food voucher program in </w:t>
      </w:r>
      <w:r w:rsidR="00456819" w:rsidRPr="008054B6">
        <w:rPr>
          <w:rFonts w:cs="Times New Roman"/>
        </w:rPr>
        <w:t xml:space="preserve">Kismayo, </w:t>
      </w:r>
      <w:r w:rsidR="00F708E8" w:rsidRPr="008054B6">
        <w:rPr>
          <w:rFonts w:cs="Times New Roman"/>
        </w:rPr>
        <w:t xml:space="preserve">Baidoa and Mogadishu. </w:t>
      </w:r>
      <w:r w:rsidR="00C01280" w:rsidRPr="008054B6">
        <w:rPr>
          <w:rFonts w:cs="Times New Roman"/>
        </w:rPr>
        <w:t xml:space="preserve">Households in target areas were also experiencing IPC Phase 2 (Stress) or IPC Phase 3 (Crisis) levels of food insecurity, were managing significant household debt, and were consuming fewer than three meals a day. In Mogadishu, 10 percent of households reported having one meal for children per day, while 45 percent ate only </w:t>
      </w:r>
      <w:r w:rsidR="008054B6">
        <w:rPr>
          <w:rFonts w:cs="Times New Roman"/>
        </w:rPr>
        <w:t>two</w:t>
      </w:r>
      <w:r w:rsidR="00C01280" w:rsidRPr="008054B6">
        <w:rPr>
          <w:rFonts w:cs="Times New Roman"/>
        </w:rPr>
        <w:t xml:space="preserve"> meals per day. In Baidoa, about 26 percent of the households were reported having only one meal per day for children. </w:t>
      </w:r>
      <w:r w:rsidR="00A96BE3" w:rsidRPr="008054B6">
        <w:rPr>
          <w:rFonts w:cs="Times New Roman"/>
        </w:rPr>
        <w:t xml:space="preserve">CRS intended for vouchers </w:t>
      </w:r>
      <w:r w:rsidR="002A0091" w:rsidRPr="008054B6">
        <w:rPr>
          <w:rFonts w:cs="Times New Roman"/>
        </w:rPr>
        <w:t xml:space="preserve">to provide direct assistance to the most vulnerable household members and households, and determined that unconditional vouchers would remove any </w:t>
      </w:r>
      <w:r w:rsidR="00A96BE3" w:rsidRPr="008054B6">
        <w:rPr>
          <w:rFonts w:cs="Times New Roman"/>
        </w:rPr>
        <w:t xml:space="preserve">work or time </w:t>
      </w:r>
      <w:r w:rsidR="002A0091" w:rsidRPr="008054B6">
        <w:rPr>
          <w:rFonts w:cs="Times New Roman"/>
        </w:rPr>
        <w:t xml:space="preserve">obligation </w:t>
      </w:r>
      <w:r w:rsidR="00A96BE3" w:rsidRPr="008054B6">
        <w:rPr>
          <w:rFonts w:cs="Times New Roman"/>
        </w:rPr>
        <w:t>from</w:t>
      </w:r>
      <w:r w:rsidR="002A0091" w:rsidRPr="008054B6">
        <w:rPr>
          <w:rFonts w:cs="Times New Roman"/>
        </w:rPr>
        <w:t xml:space="preserve"> extremely vulnerable beneficiaries</w:t>
      </w:r>
      <w:r w:rsidR="00A96BE3" w:rsidRPr="008054B6">
        <w:rPr>
          <w:rFonts w:cs="Times New Roman"/>
        </w:rPr>
        <w:t xml:space="preserve">. </w:t>
      </w:r>
      <w:r w:rsidR="00A14970" w:rsidRPr="008054B6">
        <w:rPr>
          <w:rFonts w:cs="Times New Roman"/>
        </w:rPr>
        <w:t>R</w:t>
      </w:r>
      <w:r w:rsidR="00456819" w:rsidRPr="008054B6">
        <w:rPr>
          <w:rFonts w:cs="Times New Roman"/>
        </w:rPr>
        <w:t xml:space="preserve">oughly </w:t>
      </w:r>
      <w:r w:rsidR="00156BC0" w:rsidRPr="008054B6">
        <w:rPr>
          <w:rFonts w:cs="Times New Roman"/>
        </w:rPr>
        <w:t>53</w:t>
      </w:r>
      <w:r w:rsidR="00636F39" w:rsidRPr="008054B6">
        <w:rPr>
          <w:rFonts w:cs="Times New Roman"/>
        </w:rPr>
        <w:t xml:space="preserve"> percent</w:t>
      </w:r>
      <w:r w:rsidR="00A14970" w:rsidRPr="008054B6">
        <w:rPr>
          <w:rFonts w:cs="Times New Roman"/>
        </w:rPr>
        <w:t xml:space="preserve"> of all program beneficiaries were</w:t>
      </w:r>
      <w:r w:rsidR="00636F39" w:rsidRPr="008054B6">
        <w:rPr>
          <w:rFonts w:cs="Times New Roman"/>
        </w:rPr>
        <w:t xml:space="preserve"> internally displaced households.</w:t>
      </w:r>
    </w:p>
    <w:p w14:paraId="242E227E" w14:textId="2E9318C3" w:rsidR="00E3546C" w:rsidRPr="008054B6" w:rsidRDefault="00E3546C" w:rsidP="008054B6">
      <w:pPr>
        <w:pStyle w:val="ListParagraph"/>
        <w:spacing w:after="0" w:line="240" w:lineRule="auto"/>
        <w:ind w:left="-360"/>
        <w:rPr>
          <w:rFonts w:cs="Times New Roman"/>
        </w:rPr>
      </w:pPr>
    </w:p>
    <w:p w14:paraId="17EE4302" w14:textId="7E71E305" w:rsidR="00182BA5" w:rsidRPr="008054B6" w:rsidRDefault="00E93BA6" w:rsidP="008054B6">
      <w:pPr>
        <w:spacing w:after="0" w:line="240" w:lineRule="auto"/>
        <w:ind w:left="-360"/>
        <w:rPr>
          <w:rFonts w:cs="Times New Roman"/>
        </w:rPr>
      </w:pPr>
      <w:r w:rsidRPr="008054B6">
        <w:rPr>
          <w:rFonts w:cs="Times New Roman"/>
        </w:rPr>
        <w:t xml:space="preserve">CRS and </w:t>
      </w:r>
      <w:r w:rsidR="00FF4678" w:rsidRPr="008054B6">
        <w:rPr>
          <w:rFonts w:cs="Times New Roman"/>
        </w:rPr>
        <w:t>local partner</w:t>
      </w:r>
      <w:r w:rsidRPr="008054B6">
        <w:rPr>
          <w:rFonts w:cs="Times New Roman"/>
        </w:rPr>
        <w:t xml:space="preserve"> staff worked closely with </w:t>
      </w:r>
      <w:r w:rsidR="00DE46EC" w:rsidRPr="008054B6">
        <w:rPr>
          <w:rFonts w:cs="Times New Roman"/>
        </w:rPr>
        <w:t>Village Relief</w:t>
      </w:r>
      <w:r w:rsidRPr="008054B6">
        <w:rPr>
          <w:rFonts w:cs="Times New Roman"/>
        </w:rPr>
        <w:t xml:space="preserve"> Committees, comprised of local stakeholders such as teachers, clan and tribal leadership, representatives from local government and </w:t>
      </w:r>
      <w:r w:rsidR="00BD2AB8" w:rsidRPr="008054B6">
        <w:rPr>
          <w:rFonts w:cs="Times New Roman"/>
        </w:rPr>
        <w:t xml:space="preserve">agencies affiliated with emergency response to identify beneficiaries according to </w:t>
      </w:r>
      <w:r w:rsidR="00C65BF9" w:rsidRPr="008054B6">
        <w:rPr>
          <w:rFonts w:cs="Times New Roman"/>
        </w:rPr>
        <w:t>specific</w:t>
      </w:r>
      <w:r w:rsidR="00BD2AB8" w:rsidRPr="008054B6">
        <w:rPr>
          <w:rFonts w:cs="Times New Roman"/>
        </w:rPr>
        <w:t xml:space="preserve"> criteria</w:t>
      </w:r>
      <w:r w:rsidR="00C65BF9" w:rsidRPr="008054B6">
        <w:rPr>
          <w:rFonts w:cs="Times New Roman"/>
        </w:rPr>
        <w:t xml:space="preserve"> (see Box)</w:t>
      </w:r>
      <w:r w:rsidR="00BD2AB8" w:rsidRPr="008054B6">
        <w:rPr>
          <w:rFonts w:cs="Times New Roman"/>
        </w:rPr>
        <w:t xml:space="preserve">. Lists were circulated among recipient communities and vetted by community members, who also </w:t>
      </w:r>
      <w:r w:rsidR="00C65BF9" w:rsidRPr="008054B6">
        <w:rPr>
          <w:rFonts w:cs="Times New Roman"/>
        </w:rPr>
        <w:t>had access to</w:t>
      </w:r>
      <w:r w:rsidR="00BD2AB8" w:rsidRPr="008054B6">
        <w:rPr>
          <w:rFonts w:cs="Times New Roman"/>
        </w:rPr>
        <w:t xml:space="preserve"> a </w:t>
      </w:r>
      <w:r w:rsidR="00C65BF9" w:rsidRPr="008054B6">
        <w:rPr>
          <w:rFonts w:cs="Times New Roman"/>
        </w:rPr>
        <w:t>feedback</w:t>
      </w:r>
      <w:r w:rsidR="00BD2AB8" w:rsidRPr="008054B6">
        <w:rPr>
          <w:rFonts w:cs="Times New Roman"/>
        </w:rPr>
        <w:t xml:space="preserve"> mechanism in case of dispute.  CRS notes that this process worked well and resulted in </w:t>
      </w:r>
      <w:r w:rsidR="00C65BF9" w:rsidRPr="008054B6">
        <w:rPr>
          <w:rFonts w:cs="Times New Roman"/>
        </w:rPr>
        <w:t xml:space="preserve">a beneficiary pool that consisted largely of women, female-headed </w:t>
      </w:r>
      <w:r w:rsidR="00BD2AB8" w:rsidRPr="008054B6">
        <w:rPr>
          <w:rFonts w:cs="Times New Roman"/>
        </w:rPr>
        <w:t xml:space="preserve">households, and vulnerable as well as disabled and elderly individuals.  </w:t>
      </w:r>
    </w:p>
    <w:p w14:paraId="24A76592" w14:textId="77777777" w:rsidR="00633D3E" w:rsidRPr="008054B6" w:rsidRDefault="00633D3E" w:rsidP="008054B6">
      <w:pPr>
        <w:spacing w:after="0" w:line="240" w:lineRule="auto"/>
        <w:ind w:left="-360"/>
        <w:rPr>
          <w:rFonts w:cs="Times New Roman"/>
          <w:i/>
        </w:rPr>
      </w:pPr>
    </w:p>
    <w:p w14:paraId="75A54F70" w14:textId="694D711B" w:rsidR="00621589" w:rsidRPr="008054B6" w:rsidRDefault="00621589" w:rsidP="008054B6">
      <w:pPr>
        <w:spacing w:after="0" w:line="240" w:lineRule="auto"/>
        <w:ind w:left="-360"/>
        <w:rPr>
          <w:rFonts w:cs="Times New Roman"/>
          <w:i/>
        </w:rPr>
      </w:pPr>
      <w:r w:rsidRPr="008054B6">
        <w:rPr>
          <w:rFonts w:cs="Times New Roman"/>
          <w:i/>
        </w:rPr>
        <w:t>Program Results</w:t>
      </w:r>
    </w:p>
    <w:p w14:paraId="16019DA1" w14:textId="70CFB1B2" w:rsidR="00D67475" w:rsidRPr="008054B6" w:rsidRDefault="009B65D1" w:rsidP="008054B6">
      <w:pPr>
        <w:spacing w:after="0" w:line="240" w:lineRule="auto"/>
        <w:ind w:left="-360"/>
        <w:rPr>
          <w:rFonts w:cs="Times New Roman"/>
        </w:rPr>
      </w:pPr>
      <w:r w:rsidRPr="008054B6">
        <w:rPr>
          <w:rFonts w:cs="Times New Roman"/>
        </w:rPr>
        <w:t xml:space="preserve">The program reached a total of </w:t>
      </w:r>
      <w:r w:rsidR="00182BA5" w:rsidRPr="008054B6">
        <w:rPr>
          <w:rFonts w:cs="Times New Roman"/>
        </w:rPr>
        <w:t>102,000</w:t>
      </w:r>
      <w:r w:rsidRPr="008054B6">
        <w:rPr>
          <w:rFonts w:cs="Times New Roman"/>
        </w:rPr>
        <w:t xml:space="preserve"> beneficiaries</w:t>
      </w:r>
      <w:r w:rsidR="003D6F91" w:rsidRPr="008054B6">
        <w:rPr>
          <w:rFonts w:cs="Times New Roman"/>
        </w:rPr>
        <w:t xml:space="preserve"> (</w:t>
      </w:r>
      <w:r w:rsidR="00182BA5" w:rsidRPr="008054B6">
        <w:rPr>
          <w:rFonts w:cs="Times New Roman"/>
        </w:rPr>
        <w:t>17</w:t>
      </w:r>
      <w:r w:rsidR="003D6F91" w:rsidRPr="008054B6">
        <w:rPr>
          <w:rFonts w:cs="Times New Roman"/>
        </w:rPr>
        <w:t>,000 households</w:t>
      </w:r>
      <w:r w:rsidR="002A0091" w:rsidRPr="008054B6">
        <w:rPr>
          <w:rFonts w:cs="Times New Roman"/>
        </w:rPr>
        <w:t xml:space="preserve">, </w:t>
      </w:r>
      <w:r w:rsidR="00D67475" w:rsidRPr="008054B6">
        <w:rPr>
          <w:rFonts w:cs="Times New Roman"/>
        </w:rPr>
        <w:t>with</w:t>
      </w:r>
      <w:r w:rsidR="002A0091" w:rsidRPr="008054B6">
        <w:rPr>
          <w:rFonts w:cs="Times New Roman"/>
        </w:rPr>
        <w:t xml:space="preserve"> 6 members</w:t>
      </w:r>
      <w:r w:rsidR="00D67475" w:rsidRPr="008054B6">
        <w:rPr>
          <w:rFonts w:cs="Times New Roman"/>
        </w:rPr>
        <w:t xml:space="preserve"> per household</w:t>
      </w:r>
      <w:r w:rsidR="003D6F91" w:rsidRPr="008054B6">
        <w:rPr>
          <w:rFonts w:cs="Times New Roman"/>
        </w:rPr>
        <w:t>)</w:t>
      </w:r>
      <w:r w:rsidRPr="008054B6">
        <w:rPr>
          <w:rFonts w:cs="Times New Roman"/>
        </w:rPr>
        <w:t xml:space="preserve"> from January 2013 to January 2014</w:t>
      </w:r>
      <w:r w:rsidR="008B55F9" w:rsidRPr="008054B6">
        <w:rPr>
          <w:rFonts w:cs="Times New Roman"/>
        </w:rPr>
        <w:t xml:space="preserve">, </w:t>
      </w:r>
      <w:r w:rsidRPr="008054B6">
        <w:rPr>
          <w:rFonts w:cs="Times New Roman"/>
        </w:rPr>
        <w:t xml:space="preserve">equating to a total of </w:t>
      </w:r>
      <w:r w:rsidR="00182BA5" w:rsidRPr="008054B6">
        <w:rPr>
          <w:rFonts w:cs="Times New Roman"/>
        </w:rPr>
        <w:t>5,000</w:t>
      </w:r>
      <w:r w:rsidRPr="008054B6">
        <w:rPr>
          <w:rFonts w:cs="Times New Roman"/>
        </w:rPr>
        <w:t xml:space="preserve"> households in Kismayo, </w:t>
      </w:r>
      <w:r w:rsidR="003D6F91" w:rsidRPr="008054B6">
        <w:rPr>
          <w:rFonts w:cs="Times New Roman"/>
        </w:rPr>
        <w:t>6,000 households in Baidoa, and 6,000 in Mogadishu.</w:t>
      </w:r>
      <w:r w:rsidR="00182BA5" w:rsidRPr="008054B6">
        <w:rPr>
          <w:rFonts w:cs="Times New Roman"/>
        </w:rPr>
        <w:t xml:space="preserve"> </w:t>
      </w:r>
      <w:r w:rsidR="00D67475" w:rsidRPr="008054B6">
        <w:rPr>
          <w:rFonts w:cs="Times New Roman"/>
        </w:rPr>
        <w:t>Each household received</w:t>
      </w:r>
      <w:r w:rsidR="00182BA5" w:rsidRPr="008054B6">
        <w:rPr>
          <w:rFonts w:cs="Times New Roman"/>
        </w:rPr>
        <w:t xml:space="preserve"> at least 6 months of food assistance per project</w:t>
      </w:r>
      <w:r w:rsidR="003F41CD" w:rsidRPr="008054B6">
        <w:rPr>
          <w:rFonts w:cs="Times New Roman"/>
        </w:rPr>
        <w:t>, during the lean season months</w:t>
      </w:r>
      <w:r w:rsidR="00182BA5" w:rsidRPr="008054B6">
        <w:rPr>
          <w:rFonts w:cs="Times New Roman"/>
        </w:rPr>
        <w:t xml:space="preserve">. </w:t>
      </w:r>
      <w:r w:rsidR="001774D2" w:rsidRPr="008054B6">
        <w:rPr>
          <w:rFonts w:cs="Times New Roman"/>
        </w:rPr>
        <w:t>In addition to</w:t>
      </w:r>
      <w:r w:rsidR="00461CD4" w:rsidRPr="008054B6">
        <w:rPr>
          <w:rFonts w:cs="Times New Roman"/>
        </w:rPr>
        <w:t xml:space="preserve"> addressing household food security</w:t>
      </w:r>
      <w:r w:rsidR="001774D2" w:rsidRPr="008054B6">
        <w:rPr>
          <w:rFonts w:cs="Times New Roman"/>
        </w:rPr>
        <w:t xml:space="preserve"> outcomes, t</w:t>
      </w:r>
      <w:r w:rsidR="00D67475" w:rsidRPr="008054B6">
        <w:rPr>
          <w:rFonts w:cs="Times New Roman"/>
        </w:rPr>
        <w:t xml:space="preserve">he voucher program also benefitted a total of 58 vendors by providing technical support as well as </w:t>
      </w:r>
      <w:r w:rsidR="001774D2" w:rsidRPr="008054B6">
        <w:rPr>
          <w:rFonts w:cs="Times New Roman"/>
        </w:rPr>
        <w:t xml:space="preserve">increased </w:t>
      </w:r>
      <w:r w:rsidR="00D67475" w:rsidRPr="008054B6">
        <w:rPr>
          <w:rFonts w:cs="Times New Roman"/>
        </w:rPr>
        <w:t xml:space="preserve">economic </w:t>
      </w:r>
      <w:r w:rsidR="00D67475" w:rsidRPr="008054B6">
        <w:rPr>
          <w:rFonts w:cs="Times New Roman"/>
        </w:rPr>
        <w:lastRenderedPageBreak/>
        <w:t>opportunity</w:t>
      </w:r>
      <w:r w:rsidR="001774D2" w:rsidRPr="008054B6">
        <w:rPr>
          <w:rFonts w:cs="Times New Roman"/>
        </w:rPr>
        <w:t>.  Additional household-level impacts were also identified.  Details on these additional program outcomes are in the next section below, under “Program Impact”.</w:t>
      </w:r>
    </w:p>
    <w:p w14:paraId="5C30DADF" w14:textId="77777777" w:rsidR="00327963" w:rsidRPr="008054B6" w:rsidRDefault="00327963" w:rsidP="008054B6">
      <w:pPr>
        <w:spacing w:after="0" w:line="240" w:lineRule="auto"/>
        <w:ind w:left="-360"/>
        <w:rPr>
          <w:rFonts w:cs="Times New Roman"/>
        </w:rPr>
      </w:pPr>
    </w:p>
    <w:p w14:paraId="57180A00" w14:textId="77777777" w:rsidR="008054B6" w:rsidRPr="008054B6" w:rsidRDefault="008054B6" w:rsidP="008054B6">
      <w:pPr>
        <w:pStyle w:val="yiv5386992270msonormal"/>
        <w:spacing w:before="0" w:beforeAutospacing="0" w:after="0" w:afterAutospacing="0"/>
        <w:ind w:left="-360"/>
        <w:rPr>
          <w:rFonts w:asciiTheme="minorHAnsi" w:hAnsiTheme="minorHAnsi"/>
          <w:b/>
          <w:color w:val="0070C0"/>
          <w:sz w:val="36"/>
          <w:szCs w:val="22"/>
        </w:rPr>
      </w:pPr>
      <w:r w:rsidRPr="008054B6">
        <w:rPr>
          <w:rFonts w:asciiTheme="minorHAnsi" w:hAnsiTheme="minorHAnsi"/>
          <w:b/>
          <w:color w:val="0070C0"/>
          <w:sz w:val="36"/>
          <w:szCs w:val="22"/>
        </w:rPr>
        <w:t>PROGRAMMATIC ASSUMPTIONS</w:t>
      </w:r>
    </w:p>
    <w:p w14:paraId="6E80C877" w14:textId="6802B552" w:rsidR="002B7951" w:rsidRPr="008054B6" w:rsidRDefault="008054B6" w:rsidP="008054B6">
      <w:pPr>
        <w:pStyle w:val="yiv5386992270msonormal"/>
        <w:spacing w:before="0" w:beforeAutospacing="0" w:after="0" w:afterAutospacing="0"/>
        <w:ind w:left="-360"/>
        <w:rPr>
          <w:rFonts w:asciiTheme="minorHAnsi" w:hAnsiTheme="minorHAnsi"/>
          <w:sz w:val="22"/>
          <w:szCs w:val="22"/>
        </w:rPr>
      </w:pPr>
      <w:r>
        <w:rPr>
          <w:rFonts w:asciiTheme="minorHAnsi" w:hAnsiTheme="minorHAnsi"/>
          <w:sz w:val="22"/>
          <w:szCs w:val="22"/>
        </w:rPr>
        <w:br/>
      </w:r>
      <w:r w:rsidR="002B7951" w:rsidRPr="008054B6">
        <w:rPr>
          <w:rFonts w:asciiTheme="minorHAnsi" w:hAnsiTheme="minorHAnsi"/>
          <w:sz w:val="22"/>
          <w:szCs w:val="22"/>
        </w:rPr>
        <w:t xml:space="preserve">The voucher program was guided by several key assumptions, which drove the project methodology, design, and implementation.  </w:t>
      </w:r>
      <w:r w:rsidR="003F03A3" w:rsidRPr="008054B6">
        <w:rPr>
          <w:rFonts w:asciiTheme="minorHAnsi" w:hAnsiTheme="minorHAnsi"/>
          <w:sz w:val="22"/>
          <w:szCs w:val="22"/>
        </w:rPr>
        <w:t>The following k</w:t>
      </w:r>
      <w:r w:rsidR="002B7951" w:rsidRPr="008054B6">
        <w:rPr>
          <w:rFonts w:asciiTheme="minorHAnsi" w:hAnsiTheme="minorHAnsi"/>
          <w:sz w:val="22"/>
          <w:szCs w:val="22"/>
        </w:rPr>
        <w:t xml:space="preserve">ey programmatic assumptions </w:t>
      </w:r>
      <w:r w:rsidR="003F03A3" w:rsidRPr="008054B6">
        <w:rPr>
          <w:rFonts w:asciiTheme="minorHAnsi" w:hAnsiTheme="minorHAnsi"/>
          <w:sz w:val="22"/>
          <w:szCs w:val="22"/>
        </w:rPr>
        <w:t>represent the most</w:t>
      </w:r>
      <w:r w:rsidR="003F41CD" w:rsidRPr="008054B6">
        <w:rPr>
          <w:rFonts w:asciiTheme="minorHAnsi" w:hAnsiTheme="minorHAnsi"/>
          <w:sz w:val="22"/>
          <w:szCs w:val="22"/>
        </w:rPr>
        <w:t xml:space="preserve"> critical to program success</w:t>
      </w:r>
      <w:r w:rsidR="003F03A3" w:rsidRPr="008054B6">
        <w:rPr>
          <w:rFonts w:asciiTheme="minorHAnsi" w:hAnsiTheme="minorHAnsi"/>
          <w:sz w:val="22"/>
          <w:szCs w:val="22"/>
        </w:rPr>
        <w:t xml:space="preserve"> </w:t>
      </w:r>
      <w:r w:rsidR="003F41CD" w:rsidRPr="008054B6">
        <w:rPr>
          <w:rFonts w:asciiTheme="minorHAnsi" w:hAnsiTheme="minorHAnsi"/>
          <w:sz w:val="22"/>
          <w:szCs w:val="22"/>
        </w:rPr>
        <w:t xml:space="preserve">as </w:t>
      </w:r>
      <w:r w:rsidR="003F03A3" w:rsidRPr="008054B6">
        <w:rPr>
          <w:rFonts w:asciiTheme="minorHAnsi" w:hAnsiTheme="minorHAnsi"/>
          <w:sz w:val="22"/>
          <w:szCs w:val="22"/>
        </w:rPr>
        <w:t>identified by the project team and staff</w:t>
      </w:r>
      <w:r w:rsidR="002B7951" w:rsidRPr="008054B6">
        <w:rPr>
          <w:rFonts w:asciiTheme="minorHAnsi" w:hAnsiTheme="minorHAnsi"/>
          <w:sz w:val="22"/>
          <w:szCs w:val="22"/>
        </w:rPr>
        <w:t>:</w:t>
      </w:r>
    </w:p>
    <w:p w14:paraId="3F733562" w14:textId="77777777" w:rsidR="002B7951" w:rsidRPr="008054B6" w:rsidRDefault="002B7951" w:rsidP="008054B6">
      <w:pPr>
        <w:pStyle w:val="yiv5386992270msonormal"/>
        <w:spacing w:before="0" w:beforeAutospacing="0" w:after="0" w:afterAutospacing="0"/>
        <w:ind w:left="-360"/>
        <w:rPr>
          <w:rFonts w:asciiTheme="minorHAnsi" w:hAnsiTheme="minorHAnsi"/>
          <w:sz w:val="22"/>
          <w:szCs w:val="22"/>
        </w:rPr>
      </w:pPr>
    </w:p>
    <w:p w14:paraId="2550A72E" w14:textId="50F88FF1" w:rsidR="003F03A3" w:rsidRPr="008054B6" w:rsidRDefault="00270527" w:rsidP="008054B6">
      <w:pPr>
        <w:pStyle w:val="yiv5386992270msonormal"/>
        <w:shd w:val="clear" w:color="auto" w:fill="DEEAF6" w:themeFill="accent1" w:themeFillTint="33"/>
        <w:spacing w:before="0" w:beforeAutospacing="0" w:after="0" w:afterAutospacing="0"/>
        <w:ind w:left="-360"/>
        <w:rPr>
          <w:rFonts w:asciiTheme="minorHAnsi" w:hAnsiTheme="minorHAnsi"/>
          <w:i/>
          <w:sz w:val="22"/>
          <w:szCs w:val="22"/>
        </w:rPr>
      </w:pPr>
      <w:r w:rsidRPr="008054B6">
        <w:rPr>
          <w:rFonts w:asciiTheme="minorHAnsi" w:hAnsiTheme="minorHAnsi"/>
          <w:i/>
          <w:sz w:val="22"/>
          <w:szCs w:val="22"/>
        </w:rPr>
        <w:t xml:space="preserve">Assumption #1.  </w:t>
      </w:r>
      <w:r w:rsidR="005359FD" w:rsidRPr="008054B6">
        <w:rPr>
          <w:rFonts w:asciiTheme="minorHAnsi" w:hAnsiTheme="minorHAnsi"/>
          <w:i/>
          <w:sz w:val="22"/>
          <w:szCs w:val="22"/>
        </w:rPr>
        <w:t>V</w:t>
      </w:r>
      <w:r w:rsidR="002B7951" w:rsidRPr="008054B6">
        <w:rPr>
          <w:rFonts w:asciiTheme="minorHAnsi" w:hAnsiTheme="minorHAnsi"/>
          <w:i/>
          <w:sz w:val="22"/>
          <w:szCs w:val="22"/>
        </w:rPr>
        <w:t>ouchers are an appropriate means of delivering food assistance</w:t>
      </w:r>
      <w:r w:rsidR="00456819" w:rsidRPr="008054B6">
        <w:rPr>
          <w:rFonts w:asciiTheme="minorHAnsi" w:hAnsiTheme="minorHAnsi"/>
          <w:i/>
          <w:sz w:val="22"/>
          <w:szCs w:val="22"/>
        </w:rPr>
        <w:t xml:space="preserve"> to extremely vulnerable populations</w:t>
      </w:r>
      <w:r w:rsidR="002B7951" w:rsidRPr="008054B6">
        <w:rPr>
          <w:rFonts w:asciiTheme="minorHAnsi" w:hAnsiTheme="minorHAnsi"/>
          <w:i/>
          <w:sz w:val="22"/>
          <w:szCs w:val="22"/>
        </w:rPr>
        <w:t xml:space="preserve"> in the current market and security context of urban Somalia.</w:t>
      </w:r>
    </w:p>
    <w:p w14:paraId="0BC4E919" w14:textId="77777777" w:rsidR="008054B6" w:rsidRDefault="008054B6" w:rsidP="008054B6">
      <w:pPr>
        <w:pStyle w:val="yiv5386992270msonormal"/>
        <w:spacing w:before="0" w:beforeAutospacing="0" w:after="0" w:afterAutospacing="0"/>
        <w:ind w:left="-360"/>
        <w:rPr>
          <w:rFonts w:asciiTheme="minorHAnsi" w:hAnsiTheme="minorHAnsi"/>
          <w:b/>
          <w:sz w:val="22"/>
          <w:szCs w:val="22"/>
        </w:rPr>
      </w:pPr>
    </w:p>
    <w:p w14:paraId="0AA52280" w14:textId="42F0061F" w:rsidR="00270527" w:rsidRPr="008054B6" w:rsidRDefault="005359FD" w:rsidP="008054B6">
      <w:pPr>
        <w:pStyle w:val="yiv5386992270msonormal"/>
        <w:spacing w:before="0" w:beforeAutospacing="0" w:after="0" w:afterAutospacing="0"/>
        <w:ind w:left="-360"/>
        <w:rPr>
          <w:rFonts w:asciiTheme="minorHAnsi" w:hAnsiTheme="minorHAnsi"/>
          <w:sz w:val="22"/>
          <w:szCs w:val="22"/>
        </w:rPr>
      </w:pPr>
      <w:r w:rsidRPr="008054B6">
        <w:rPr>
          <w:rFonts w:asciiTheme="minorHAnsi" w:hAnsiTheme="minorHAnsi"/>
          <w:b/>
          <w:sz w:val="22"/>
          <w:szCs w:val="22"/>
        </w:rPr>
        <w:t xml:space="preserve">TRUE.  </w:t>
      </w:r>
      <w:r w:rsidR="00AD771D" w:rsidRPr="008054B6">
        <w:rPr>
          <w:rFonts w:asciiTheme="minorHAnsi" w:hAnsiTheme="minorHAnsi"/>
          <w:b/>
          <w:sz w:val="22"/>
          <w:szCs w:val="22"/>
        </w:rPr>
        <w:t xml:space="preserve">Compared to </w:t>
      </w:r>
      <w:r w:rsidR="00270527" w:rsidRPr="008054B6">
        <w:rPr>
          <w:rFonts w:asciiTheme="minorHAnsi" w:hAnsiTheme="minorHAnsi"/>
          <w:b/>
          <w:sz w:val="22"/>
          <w:szCs w:val="22"/>
        </w:rPr>
        <w:t>unrestricted</w:t>
      </w:r>
      <w:r w:rsidR="00AD771D" w:rsidRPr="008054B6">
        <w:rPr>
          <w:rFonts w:asciiTheme="minorHAnsi" w:hAnsiTheme="minorHAnsi"/>
          <w:b/>
          <w:sz w:val="22"/>
          <w:szCs w:val="22"/>
        </w:rPr>
        <w:t xml:space="preserve"> voucher</w:t>
      </w:r>
      <w:r w:rsidR="00270527" w:rsidRPr="008054B6">
        <w:rPr>
          <w:rFonts w:asciiTheme="minorHAnsi" w:hAnsiTheme="minorHAnsi"/>
          <w:b/>
          <w:sz w:val="22"/>
          <w:szCs w:val="22"/>
        </w:rPr>
        <w:t>s</w:t>
      </w:r>
      <w:r w:rsidR="00AD771D" w:rsidRPr="008054B6">
        <w:rPr>
          <w:rFonts w:asciiTheme="minorHAnsi" w:hAnsiTheme="minorHAnsi"/>
          <w:b/>
          <w:sz w:val="22"/>
          <w:szCs w:val="22"/>
        </w:rPr>
        <w:t>, the restricted voucher reduced the need for intensive program oversight of vendors, reduced the administrative burden of tracking receipts and documentation, allowed for sufficient household choice in the proportion of pre-selected and pre-packaged food items, and ultimately assured that the food needs of vulnerable households were reliably met on a monthly basis.</w:t>
      </w:r>
      <w:r w:rsidR="00AD771D" w:rsidRPr="008054B6">
        <w:rPr>
          <w:rFonts w:asciiTheme="minorHAnsi" w:hAnsiTheme="minorHAnsi"/>
          <w:sz w:val="22"/>
          <w:szCs w:val="22"/>
        </w:rPr>
        <w:t xml:space="preserve"> </w:t>
      </w:r>
      <w:r w:rsidR="003F03A3" w:rsidRPr="008054B6">
        <w:rPr>
          <w:rFonts w:asciiTheme="minorHAnsi" w:hAnsiTheme="minorHAnsi"/>
          <w:sz w:val="22"/>
          <w:szCs w:val="22"/>
        </w:rPr>
        <w:t xml:space="preserve">The fundamental rationale behind the selection of vouchers for food assistance in </w:t>
      </w:r>
      <w:r w:rsidR="00E3797D" w:rsidRPr="008054B6">
        <w:rPr>
          <w:rFonts w:asciiTheme="minorHAnsi" w:hAnsiTheme="minorHAnsi"/>
          <w:sz w:val="22"/>
          <w:szCs w:val="22"/>
        </w:rPr>
        <w:t>this</w:t>
      </w:r>
      <w:r w:rsidR="003F03A3" w:rsidRPr="008054B6">
        <w:rPr>
          <w:rFonts w:asciiTheme="minorHAnsi" w:hAnsiTheme="minorHAnsi"/>
          <w:sz w:val="22"/>
          <w:szCs w:val="22"/>
        </w:rPr>
        <w:t xml:space="preserve"> urban</w:t>
      </w:r>
      <w:r w:rsidR="00E3797D" w:rsidRPr="008054B6">
        <w:rPr>
          <w:rFonts w:asciiTheme="minorHAnsi" w:hAnsiTheme="minorHAnsi"/>
          <w:sz w:val="22"/>
          <w:szCs w:val="22"/>
        </w:rPr>
        <w:t>,</w:t>
      </w:r>
      <w:r w:rsidR="003F03A3" w:rsidRPr="008054B6">
        <w:rPr>
          <w:rFonts w:asciiTheme="minorHAnsi" w:hAnsiTheme="minorHAnsi"/>
          <w:sz w:val="22"/>
          <w:szCs w:val="22"/>
        </w:rPr>
        <w:t xml:space="preserve"> complex emergency context was based on efficiency, adaptability, and appropriateness of the delivery mechanism in assuring basic food needs to highly vulnerable households.  </w:t>
      </w:r>
      <w:r w:rsidR="00671F34" w:rsidRPr="008054B6">
        <w:rPr>
          <w:rFonts w:asciiTheme="minorHAnsi" w:hAnsiTheme="minorHAnsi"/>
          <w:sz w:val="22"/>
          <w:szCs w:val="22"/>
        </w:rPr>
        <w:t>Overall, the paper voucher mechanism proved to be a highly effective</w:t>
      </w:r>
      <w:r w:rsidR="00F543D1" w:rsidRPr="008054B6">
        <w:rPr>
          <w:rFonts w:asciiTheme="minorHAnsi" w:hAnsiTheme="minorHAnsi"/>
          <w:sz w:val="22"/>
          <w:szCs w:val="22"/>
        </w:rPr>
        <w:t>, accurately targeted,</w:t>
      </w:r>
      <w:r w:rsidR="00671F34" w:rsidRPr="008054B6">
        <w:rPr>
          <w:rFonts w:asciiTheme="minorHAnsi" w:hAnsiTheme="minorHAnsi"/>
          <w:sz w:val="22"/>
          <w:szCs w:val="22"/>
        </w:rPr>
        <w:t xml:space="preserve"> and well-received means of food assistance in a complex implementing environment. </w:t>
      </w:r>
      <w:r w:rsidR="00E3797D" w:rsidRPr="008054B6">
        <w:rPr>
          <w:rFonts w:asciiTheme="minorHAnsi" w:hAnsiTheme="minorHAnsi"/>
          <w:sz w:val="22"/>
          <w:szCs w:val="22"/>
        </w:rPr>
        <w:t xml:space="preserve"> </w:t>
      </w:r>
    </w:p>
    <w:p w14:paraId="574A5C55" w14:textId="404B4999" w:rsidR="00270527" w:rsidRPr="008054B6" w:rsidRDefault="00270527" w:rsidP="008054B6">
      <w:pPr>
        <w:pStyle w:val="yiv5386992270msonormal"/>
        <w:spacing w:before="0" w:beforeAutospacing="0" w:after="0" w:afterAutospacing="0"/>
        <w:ind w:left="-360"/>
        <w:rPr>
          <w:rFonts w:asciiTheme="minorHAnsi" w:hAnsiTheme="minorHAnsi"/>
          <w:sz w:val="22"/>
          <w:szCs w:val="22"/>
        </w:rPr>
      </w:pPr>
    </w:p>
    <w:p w14:paraId="274C5C17" w14:textId="5A36C36B" w:rsidR="003350FC" w:rsidRPr="008054B6" w:rsidRDefault="00E05BB5" w:rsidP="008054B6">
      <w:pPr>
        <w:spacing w:after="0" w:line="240" w:lineRule="auto"/>
        <w:ind w:left="-360"/>
        <w:rPr>
          <w:rFonts w:cs="Times New Roman"/>
        </w:rPr>
      </w:pPr>
      <w:r w:rsidRPr="008054B6">
        <w:rPr>
          <w:i/>
          <w:noProof/>
          <w:lang w:bidi="ne-NP"/>
        </w:rPr>
        <mc:AlternateContent>
          <mc:Choice Requires="wps">
            <w:drawing>
              <wp:anchor distT="0" distB="0" distL="114300" distR="114300" simplePos="0" relativeHeight="251677184" behindDoc="0" locked="0" layoutInCell="1" allowOverlap="1" wp14:anchorId="41CB224E" wp14:editId="3D25BB64">
                <wp:simplePos x="0" y="0"/>
                <wp:positionH relativeFrom="margin">
                  <wp:posOffset>4227195</wp:posOffset>
                </wp:positionH>
                <wp:positionV relativeFrom="paragraph">
                  <wp:posOffset>1577065</wp:posOffset>
                </wp:positionV>
                <wp:extent cx="1716405"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6405" cy="1828800"/>
                        </a:xfrm>
                        <a:prstGeom prst="rect">
                          <a:avLst/>
                        </a:prstGeom>
                        <a:solidFill>
                          <a:schemeClr val="accent1">
                            <a:lumMod val="20000"/>
                            <a:lumOff val="80000"/>
                          </a:schemeClr>
                        </a:solidFill>
                        <a:ln w="38100" cmpd="dbl">
                          <a:noFill/>
                        </a:ln>
                        <a:effectLst/>
                      </wps:spPr>
                      <wps:style>
                        <a:lnRef idx="0">
                          <a:schemeClr val="accent1"/>
                        </a:lnRef>
                        <a:fillRef idx="0">
                          <a:schemeClr val="accent1"/>
                        </a:fillRef>
                        <a:effectRef idx="0">
                          <a:schemeClr val="accent1"/>
                        </a:effectRef>
                        <a:fontRef idx="minor">
                          <a:schemeClr val="dk1"/>
                        </a:fontRef>
                      </wps:style>
                      <wps:txbx>
                        <w:txbxContent>
                          <w:p w14:paraId="2C655FC3" w14:textId="2A1546B5" w:rsidR="00F45600" w:rsidRPr="00EB17C3" w:rsidRDefault="00F45600" w:rsidP="008054B6">
                            <w:pPr>
                              <w:shd w:val="clear" w:color="auto" w:fill="DEEAF6" w:themeFill="accent1" w:themeFillTint="33"/>
                              <w:jc w:val="both"/>
                              <w:rPr>
                                <w:rFonts w:ascii="Times New Roman" w:hAnsi="Times New Roman"/>
                                <w:b/>
                                <w:i/>
                                <w:sz w:val="20"/>
                                <w:szCs w:val="20"/>
                              </w:rPr>
                            </w:pPr>
                            <w:r>
                              <w:rPr>
                                <w:rFonts w:ascii="Times New Roman" w:hAnsi="Times New Roman"/>
                                <w:b/>
                                <w:i/>
                                <w:sz w:val="20"/>
                                <w:szCs w:val="20"/>
                              </w:rPr>
                              <w:t>“S</w:t>
                            </w:r>
                            <w:r w:rsidRPr="00EB17C3">
                              <w:rPr>
                                <w:rFonts w:ascii="Times New Roman" w:hAnsi="Times New Roman"/>
                                <w:b/>
                                <w:i/>
                                <w:sz w:val="20"/>
                                <w:szCs w:val="20"/>
                              </w:rPr>
                              <w:t>ome of the most poor and vulnerable household</w:t>
                            </w:r>
                            <w:r w:rsidR="000E2B98">
                              <w:rPr>
                                <w:rFonts w:ascii="Times New Roman" w:hAnsi="Times New Roman"/>
                                <w:b/>
                                <w:i/>
                                <w:sz w:val="20"/>
                                <w:szCs w:val="20"/>
                              </w:rPr>
                              <w:t>s</w:t>
                            </w:r>
                            <w:r w:rsidRPr="00EB17C3">
                              <w:rPr>
                                <w:rFonts w:ascii="Times New Roman" w:hAnsi="Times New Roman"/>
                                <w:b/>
                                <w:i/>
                                <w:sz w:val="20"/>
                                <w:szCs w:val="20"/>
                              </w:rPr>
                              <w:t xml:space="preserve"> in Kismayo were able to survive largely due to the food vouchers given out by CRS/SEDHURO.”</w:t>
                            </w:r>
                          </w:p>
                          <w:p w14:paraId="5376C55E" w14:textId="31F741AE" w:rsidR="00F45600" w:rsidRPr="00456819" w:rsidRDefault="00F45600" w:rsidP="008054B6">
                            <w:pPr>
                              <w:shd w:val="clear" w:color="auto" w:fill="DEEAF6" w:themeFill="accent1" w:themeFillTint="33"/>
                              <w:jc w:val="both"/>
                              <w:rPr>
                                <w:i/>
                              </w:rPr>
                            </w:pPr>
                            <w:r>
                              <w:rPr>
                                <w:rFonts w:ascii="Times New Roman" w:hAnsi="Times New Roman"/>
                                <w:b/>
                                <w:sz w:val="24"/>
                                <w:szCs w:val="24"/>
                              </w:rPr>
                              <w:t>-</w:t>
                            </w:r>
                            <w:r w:rsidRPr="00EB17C3">
                              <w:rPr>
                                <w:rFonts w:ascii="Times New Roman" w:hAnsi="Times New Roman"/>
                                <w:sz w:val="20"/>
                                <w:szCs w:val="20"/>
                              </w:rPr>
                              <w:t>Hashi Abdirahman, Deputy Director and supervisor of humanitarian activities in Kismayo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B224E" id="_x0000_t202" coordsize="21600,21600" o:spt="202" path="m,l,21600r21600,l21600,xe">
                <v:stroke joinstyle="miter"/>
                <v:path gradientshapeok="t" o:connecttype="rect"/>
              </v:shapetype>
              <v:shape id="Text Box 6" o:spid="_x0000_s1026" type="#_x0000_t202" style="position:absolute;left:0;text-align:left;margin-left:332.85pt;margin-top:124.2pt;width:135.15pt;height:2in;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" fillcolor="#deeaf6 [660]" stroked="f" strokeweight="3pt">
                <v:stroke linestyle="thinThin"/>
                <v:textbox>
                  <w:txbxContent>
                    <w:p w14:paraId="2C655FC3" w14:textId="2A1546B5" w:rsidR="00F45600" w:rsidRPr="00EB17C3" w:rsidRDefault="00F45600" w:rsidP="008054B6">
                      <w:pPr>
                        <w:shd w:val="clear" w:color="auto" w:fill="DEEAF6" w:themeFill="accent1" w:themeFillTint="33"/>
                        <w:jc w:val="both"/>
                        <w:rPr>
                          <w:rFonts w:ascii="Times New Roman" w:hAnsi="Times New Roman"/>
                          <w:b/>
                          <w:i/>
                          <w:sz w:val="20"/>
                          <w:szCs w:val="20"/>
                        </w:rPr>
                      </w:pPr>
                      <w:r>
                        <w:rPr>
                          <w:rFonts w:ascii="Times New Roman" w:hAnsi="Times New Roman"/>
                          <w:b/>
                          <w:i/>
                          <w:sz w:val="20"/>
                          <w:szCs w:val="20"/>
                        </w:rPr>
                        <w:t>“S</w:t>
                      </w:r>
                      <w:r w:rsidRPr="00EB17C3">
                        <w:rPr>
                          <w:rFonts w:ascii="Times New Roman" w:hAnsi="Times New Roman"/>
                          <w:b/>
                          <w:i/>
                          <w:sz w:val="20"/>
                          <w:szCs w:val="20"/>
                        </w:rPr>
                        <w:t>ome of the most poor and vulnerable household</w:t>
                      </w:r>
                      <w:r w:rsidR="000E2B98">
                        <w:rPr>
                          <w:rFonts w:ascii="Times New Roman" w:hAnsi="Times New Roman"/>
                          <w:b/>
                          <w:i/>
                          <w:sz w:val="20"/>
                          <w:szCs w:val="20"/>
                        </w:rPr>
                        <w:t>s</w:t>
                      </w:r>
                      <w:r w:rsidRPr="00EB17C3">
                        <w:rPr>
                          <w:rFonts w:ascii="Times New Roman" w:hAnsi="Times New Roman"/>
                          <w:b/>
                          <w:i/>
                          <w:sz w:val="20"/>
                          <w:szCs w:val="20"/>
                        </w:rPr>
                        <w:t xml:space="preserve"> in </w:t>
                      </w:r>
                      <w:proofErr w:type="spellStart"/>
                      <w:r w:rsidRPr="00EB17C3">
                        <w:rPr>
                          <w:rFonts w:ascii="Times New Roman" w:hAnsi="Times New Roman"/>
                          <w:b/>
                          <w:i/>
                          <w:sz w:val="20"/>
                          <w:szCs w:val="20"/>
                        </w:rPr>
                        <w:t>Kismayo</w:t>
                      </w:r>
                      <w:proofErr w:type="spellEnd"/>
                      <w:r w:rsidRPr="00EB17C3">
                        <w:rPr>
                          <w:rFonts w:ascii="Times New Roman" w:hAnsi="Times New Roman"/>
                          <w:b/>
                          <w:i/>
                          <w:sz w:val="20"/>
                          <w:szCs w:val="20"/>
                        </w:rPr>
                        <w:t xml:space="preserve"> were able to survive largely due to the food vouchers given out by CRS/SEDHURO.”</w:t>
                      </w:r>
                    </w:p>
                    <w:p w14:paraId="5376C55E" w14:textId="31F741AE" w:rsidR="00F45600" w:rsidRPr="00456819" w:rsidRDefault="00F45600" w:rsidP="008054B6">
                      <w:pPr>
                        <w:shd w:val="clear" w:color="auto" w:fill="DEEAF6" w:themeFill="accent1" w:themeFillTint="33"/>
                        <w:jc w:val="both"/>
                        <w:rPr>
                          <w:i/>
                        </w:rPr>
                      </w:pPr>
                      <w:r>
                        <w:rPr>
                          <w:rFonts w:ascii="Times New Roman" w:hAnsi="Times New Roman"/>
                          <w:b/>
                          <w:sz w:val="24"/>
                          <w:szCs w:val="24"/>
                        </w:rPr>
                        <w:t>-</w:t>
                      </w:r>
                      <w:proofErr w:type="spellStart"/>
                      <w:r w:rsidRPr="00EB17C3">
                        <w:rPr>
                          <w:rFonts w:ascii="Times New Roman" w:hAnsi="Times New Roman"/>
                          <w:sz w:val="20"/>
                          <w:szCs w:val="20"/>
                        </w:rPr>
                        <w:t>Hashi</w:t>
                      </w:r>
                      <w:proofErr w:type="spellEnd"/>
                      <w:r w:rsidRPr="00EB17C3">
                        <w:rPr>
                          <w:rFonts w:ascii="Times New Roman" w:hAnsi="Times New Roman"/>
                          <w:sz w:val="20"/>
                          <w:szCs w:val="20"/>
                        </w:rPr>
                        <w:t xml:space="preserve"> </w:t>
                      </w:r>
                      <w:proofErr w:type="spellStart"/>
                      <w:r w:rsidRPr="00EB17C3">
                        <w:rPr>
                          <w:rFonts w:ascii="Times New Roman" w:hAnsi="Times New Roman"/>
                          <w:sz w:val="20"/>
                          <w:szCs w:val="20"/>
                        </w:rPr>
                        <w:t>Abdirahman</w:t>
                      </w:r>
                      <w:proofErr w:type="spellEnd"/>
                      <w:r w:rsidRPr="00EB17C3">
                        <w:rPr>
                          <w:rFonts w:ascii="Times New Roman" w:hAnsi="Times New Roman"/>
                          <w:sz w:val="20"/>
                          <w:szCs w:val="20"/>
                        </w:rPr>
                        <w:t xml:space="preserve">, Deputy Director and supervisor of humanitarian activities in </w:t>
                      </w:r>
                      <w:proofErr w:type="spellStart"/>
                      <w:r w:rsidRPr="00EB17C3">
                        <w:rPr>
                          <w:rFonts w:ascii="Times New Roman" w:hAnsi="Times New Roman"/>
                          <w:sz w:val="20"/>
                          <w:szCs w:val="20"/>
                        </w:rPr>
                        <w:t>Kismayo</w:t>
                      </w:r>
                      <w:proofErr w:type="spellEnd"/>
                    </w:p>
                  </w:txbxContent>
                </v:textbox>
                <w10:wrap type="square" anchorx="margin"/>
              </v:shape>
            </w:pict>
          </mc:Fallback>
        </mc:AlternateContent>
      </w:r>
      <w:r w:rsidR="003350FC" w:rsidRPr="008054B6">
        <w:rPr>
          <w:rFonts w:cs="Times New Roman"/>
        </w:rPr>
        <w:t xml:space="preserve">In </w:t>
      </w:r>
      <w:r w:rsidR="00C62C4E" w:rsidRPr="008054B6">
        <w:rPr>
          <w:rFonts w:cs="Times New Roman"/>
        </w:rPr>
        <w:t xml:space="preserve">Kismayo, during </w:t>
      </w:r>
      <w:r w:rsidR="003350FC" w:rsidRPr="008054B6">
        <w:rPr>
          <w:rFonts w:cs="Times New Roman"/>
        </w:rPr>
        <w:t>the early stages of the</w:t>
      </w:r>
      <w:r w:rsidR="00C62C4E" w:rsidRPr="008054B6">
        <w:rPr>
          <w:rFonts w:cs="Times New Roman"/>
        </w:rPr>
        <w:t xml:space="preserve"> first</w:t>
      </w:r>
      <w:r w:rsidR="003350FC" w:rsidRPr="008054B6">
        <w:rPr>
          <w:rFonts w:cs="Times New Roman"/>
        </w:rPr>
        <w:t xml:space="preserve"> program</w:t>
      </w:r>
      <w:r w:rsidR="00C62C4E" w:rsidRPr="008054B6">
        <w:rPr>
          <w:rFonts w:cs="Times New Roman"/>
        </w:rPr>
        <w:t xml:space="preserve"> iteration</w:t>
      </w:r>
      <w:r w:rsidR="003350FC" w:rsidRPr="008054B6">
        <w:rPr>
          <w:rFonts w:cs="Times New Roman"/>
        </w:rPr>
        <w:t xml:space="preserve">, CRS tested an “unconditional, unrestricted” system, whereby selected beneficiary households were provided with a cash voucher in the amount of 63 USD for use in the selection of food commodities.  The allocated voucher amount was intended to meet approximately 80 percent of food needs for a household. Households received monthly vouchers for the life of the program, which ranged from 6-10 months depending on the program site.  </w:t>
      </w:r>
      <w:r w:rsidR="00C62C4E" w:rsidRPr="008054B6">
        <w:rPr>
          <w:rFonts w:cs="Times New Roman"/>
        </w:rPr>
        <w:t xml:space="preserve">Early in program implementation, this key assumption was challenged due to unanticipated crowding, and inconsistent timing of voucher use by beneficiaries. Beneficiaries would receive the voucher and would be free to purchase and frequent participating stores as needed, which resulted in overcrowding and/or lack of </w:t>
      </w:r>
      <w:r w:rsidR="001964FC" w:rsidRPr="008054B6">
        <w:rPr>
          <w:rFonts w:cs="Times New Roman"/>
        </w:rPr>
        <w:t>voucher redemption</w:t>
      </w:r>
      <w:r w:rsidR="00C62C4E" w:rsidRPr="008054B6">
        <w:rPr>
          <w:rFonts w:cs="Times New Roman"/>
        </w:rPr>
        <w:t xml:space="preserve"> by beneficiaries in a timely manner. </w:t>
      </w:r>
      <w:r w:rsidR="003350FC" w:rsidRPr="008054B6">
        <w:rPr>
          <w:rFonts w:cs="Times New Roman"/>
        </w:rPr>
        <w:t xml:space="preserve">Within the first voucher distribution cycles, CRS observed several logistical and administrative challenges associated with the “unconditional, unrestricted” approach, specifically: </w:t>
      </w:r>
    </w:p>
    <w:p w14:paraId="3775A730" w14:textId="78045B7D" w:rsidR="003350FC" w:rsidRPr="008054B6" w:rsidRDefault="003350FC" w:rsidP="008054B6">
      <w:pPr>
        <w:spacing w:after="0" w:line="240" w:lineRule="auto"/>
        <w:ind w:left="-360"/>
        <w:rPr>
          <w:rFonts w:cs="Times New Roman"/>
        </w:rPr>
      </w:pPr>
    </w:p>
    <w:p w14:paraId="379BA532" w14:textId="77777777" w:rsidR="003350FC" w:rsidRPr="008054B6" w:rsidRDefault="003350FC" w:rsidP="008054B6">
      <w:pPr>
        <w:pStyle w:val="ListParagraph"/>
        <w:numPr>
          <w:ilvl w:val="0"/>
          <w:numId w:val="40"/>
        </w:numPr>
        <w:spacing w:after="0" w:line="240" w:lineRule="auto"/>
        <w:rPr>
          <w:rFonts w:cs="Times New Roman"/>
        </w:rPr>
      </w:pPr>
      <w:r w:rsidRPr="008054B6">
        <w:rPr>
          <w:rFonts w:cs="Times New Roman"/>
        </w:rPr>
        <w:t xml:space="preserve">Administrative burden of monitoring 40 vendors and sales activities, </w:t>
      </w:r>
    </w:p>
    <w:p w14:paraId="691D30F3" w14:textId="5DF57DE1" w:rsidR="003350FC" w:rsidRPr="008054B6" w:rsidRDefault="003350FC" w:rsidP="008054B6">
      <w:pPr>
        <w:pStyle w:val="ListParagraph"/>
        <w:numPr>
          <w:ilvl w:val="0"/>
          <w:numId w:val="40"/>
        </w:numPr>
        <w:spacing w:after="0" w:line="240" w:lineRule="auto"/>
        <w:rPr>
          <w:rFonts w:cs="Times New Roman"/>
        </w:rPr>
      </w:pPr>
      <w:r w:rsidRPr="008054B6">
        <w:rPr>
          <w:rFonts w:cs="Times New Roman"/>
        </w:rPr>
        <w:t xml:space="preserve">Low capacity of vendors to manage voucher processes and paperwork, </w:t>
      </w:r>
    </w:p>
    <w:p w14:paraId="1FEBC68D" w14:textId="3190B914" w:rsidR="003350FC" w:rsidRPr="008054B6" w:rsidRDefault="003350FC" w:rsidP="008054B6">
      <w:pPr>
        <w:pStyle w:val="ListParagraph"/>
        <w:numPr>
          <w:ilvl w:val="0"/>
          <w:numId w:val="40"/>
        </w:numPr>
        <w:spacing w:after="0" w:line="240" w:lineRule="auto"/>
        <w:rPr>
          <w:rFonts w:cs="Times New Roman"/>
        </w:rPr>
      </w:pPr>
      <w:r w:rsidRPr="008054B6">
        <w:rPr>
          <w:rFonts w:cs="Times New Roman"/>
        </w:rPr>
        <w:t>Overcrowding on voucher transfer days</w:t>
      </w:r>
      <w:r w:rsidR="001964FC" w:rsidRPr="008054B6">
        <w:rPr>
          <w:rFonts w:cs="Times New Roman"/>
        </w:rPr>
        <w:t>, and subsequent increased security risk</w:t>
      </w:r>
      <w:r w:rsidRPr="008054B6">
        <w:rPr>
          <w:rFonts w:cs="Times New Roman"/>
        </w:rPr>
        <w:t xml:space="preserve">. </w:t>
      </w:r>
    </w:p>
    <w:p w14:paraId="332CD4C2" w14:textId="435EB30E" w:rsidR="003350FC" w:rsidRPr="008054B6" w:rsidRDefault="003350FC" w:rsidP="008054B6">
      <w:pPr>
        <w:spacing w:after="0" w:line="240" w:lineRule="auto"/>
        <w:ind w:left="-360"/>
        <w:rPr>
          <w:rFonts w:cs="Times New Roman"/>
          <w:highlight w:val="yellow"/>
        </w:rPr>
      </w:pPr>
    </w:p>
    <w:p w14:paraId="3D37A54B" w14:textId="317BB209" w:rsidR="00633D3E" w:rsidRPr="008054B6" w:rsidRDefault="003350FC" w:rsidP="008054B6">
      <w:pPr>
        <w:pStyle w:val="yiv5386992270msonormal"/>
        <w:spacing w:before="0" w:beforeAutospacing="0" w:after="0" w:afterAutospacing="0"/>
        <w:ind w:left="-360"/>
        <w:rPr>
          <w:rFonts w:asciiTheme="minorHAnsi" w:hAnsiTheme="minorHAnsi"/>
          <w:sz w:val="22"/>
          <w:szCs w:val="22"/>
        </w:rPr>
      </w:pPr>
      <w:r w:rsidRPr="008054B6">
        <w:rPr>
          <w:rFonts w:asciiTheme="minorHAnsi" w:hAnsiTheme="minorHAnsi"/>
          <w:sz w:val="22"/>
          <w:szCs w:val="22"/>
        </w:rPr>
        <w:t xml:space="preserve">CRS staff made critical adjustments to voucher delivery and transfer processes in Kismayo, which were adopted for the rest of the program as well as future iterations of the program in Baidoa and Mogadishu.  </w:t>
      </w:r>
      <w:r w:rsidR="00D54577" w:rsidRPr="008054B6">
        <w:rPr>
          <w:rFonts w:asciiTheme="minorHAnsi" w:hAnsiTheme="minorHAnsi"/>
          <w:sz w:val="22"/>
          <w:szCs w:val="22"/>
        </w:rPr>
        <w:t xml:space="preserve"> In order to assure more efficient distribution of vouchers and food, and service through vendors, </w:t>
      </w:r>
      <w:r w:rsidR="00270527" w:rsidRPr="008054B6">
        <w:rPr>
          <w:rFonts w:asciiTheme="minorHAnsi" w:hAnsiTheme="minorHAnsi"/>
          <w:sz w:val="22"/>
          <w:szCs w:val="22"/>
        </w:rPr>
        <w:t xml:space="preserve">the </w:t>
      </w:r>
      <w:r w:rsidR="00D54577" w:rsidRPr="008054B6">
        <w:rPr>
          <w:rFonts w:asciiTheme="minorHAnsi" w:hAnsiTheme="minorHAnsi"/>
          <w:sz w:val="22"/>
          <w:szCs w:val="22"/>
        </w:rPr>
        <w:t xml:space="preserve">CRS team instituted a 10-day cycle, with five days for voucher distribution and 5 days for redemption at selected stores and instituted expiration dates of two weeks on vouchers.  </w:t>
      </w:r>
      <w:r w:rsidR="00D54577" w:rsidRPr="008054B6">
        <w:rPr>
          <w:rFonts w:asciiTheme="minorHAnsi" w:eastAsia="Calibri" w:hAnsiTheme="minorHAnsi"/>
          <w:sz w:val="22"/>
          <w:szCs w:val="22"/>
        </w:rPr>
        <w:t xml:space="preserve">Separation of voucher distribution and later redemption on different dates </w:t>
      </w:r>
      <w:r w:rsidR="00D54577" w:rsidRPr="008054B6">
        <w:rPr>
          <w:rFonts w:asciiTheme="minorHAnsi" w:eastAsia="Calibri" w:hAnsiTheme="minorHAnsi"/>
          <w:sz w:val="22"/>
          <w:szCs w:val="22"/>
        </w:rPr>
        <w:lastRenderedPageBreak/>
        <w:t xml:space="preserve">proved easy and convenient to both beneficiaries and vendors, and </w:t>
      </w:r>
      <w:r w:rsidR="00D54577" w:rsidRPr="008054B6">
        <w:rPr>
          <w:rFonts w:asciiTheme="minorHAnsi" w:hAnsiTheme="minorHAnsi"/>
          <w:sz w:val="22"/>
          <w:szCs w:val="22"/>
        </w:rPr>
        <w:t>has</w:t>
      </w:r>
      <w:r w:rsidR="00EC5DBE" w:rsidRPr="008054B6">
        <w:rPr>
          <w:rFonts w:asciiTheme="minorHAnsi" w:hAnsiTheme="minorHAnsi"/>
          <w:sz w:val="22"/>
          <w:szCs w:val="22"/>
        </w:rPr>
        <w:t xml:space="preserve"> mitigate</w:t>
      </w:r>
      <w:r w:rsidR="00D54577" w:rsidRPr="008054B6">
        <w:rPr>
          <w:rFonts w:asciiTheme="minorHAnsi" w:hAnsiTheme="minorHAnsi"/>
          <w:sz w:val="22"/>
          <w:szCs w:val="22"/>
        </w:rPr>
        <w:t>d</w:t>
      </w:r>
      <w:r w:rsidR="00EC5DBE" w:rsidRPr="008054B6">
        <w:rPr>
          <w:rFonts w:asciiTheme="minorHAnsi" w:hAnsiTheme="minorHAnsi"/>
          <w:sz w:val="22"/>
          <w:szCs w:val="22"/>
        </w:rPr>
        <w:t xml:space="preserve"> security concerns for partner organizations and staff, vendors, and beneficiaries. </w:t>
      </w:r>
    </w:p>
    <w:p w14:paraId="3D35ED4B" w14:textId="355DBD62" w:rsidR="00D54577" w:rsidRPr="008054B6" w:rsidRDefault="00D54577" w:rsidP="008054B6">
      <w:pPr>
        <w:pStyle w:val="yiv5386992270msonormal"/>
        <w:spacing w:before="0" w:beforeAutospacing="0" w:after="0" w:afterAutospacing="0"/>
        <w:ind w:left="-360"/>
        <w:rPr>
          <w:rFonts w:asciiTheme="minorHAnsi" w:hAnsiTheme="minorHAnsi"/>
          <w:sz w:val="22"/>
          <w:szCs w:val="22"/>
        </w:rPr>
      </w:pPr>
    </w:p>
    <w:p w14:paraId="02185BCC" w14:textId="728D4E50" w:rsidR="00726C91" w:rsidRPr="008054B6" w:rsidRDefault="00726C91" w:rsidP="008054B6">
      <w:pPr>
        <w:pStyle w:val="yiv5386992270msonormal"/>
        <w:spacing w:before="0" w:beforeAutospacing="0" w:after="0" w:afterAutospacing="0"/>
        <w:ind w:left="-360"/>
        <w:rPr>
          <w:rFonts w:asciiTheme="minorHAnsi" w:hAnsiTheme="minorHAnsi"/>
          <w:sz w:val="22"/>
          <w:szCs w:val="22"/>
        </w:rPr>
      </w:pPr>
      <w:r w:rsidRPr="008054B6">
        <w:rPr>
          <w:rFonts w:asciiTheme="minorHAnsi" w:hAnsiTheme="minorHAnsi"/>
          <w:sz w:val="22"/>
          <w:szCs w:val="22"/>
        </w:rPr>
        <w:t>Appropriateness of the voucher distribution and redemption process was echoed by recipients of food assistance through the CRS program.</w:t>
      </w:r>
      <w:r w:rsidR="008B55F9" w:rsidRPr="008054B6">
        <w:rPr>
          <w:rFonts w:asciiTheme="minorHAnsi" w:hAnsiTheme="minorHAnsi"/>
          <w:sz w:val="22"/>
          <w:szCs w:val="22"/>
        </w:rPr>
        <w:t xml:space="preserve">  </w:t>
      </w:r>
      <w:r w:rsidR="00270527" w:rsidRPr="008054B6">
        <w:rPr>
          <w:rFonts w:asciiTheme="minorHAnsi" w:hAnsiTheme="minorHAnsi"/>
          <w:sz w:val="22"/>
          <w:szCs w:val="22"/>
        </w:rPr>
        <w:t>O</w:t>
      </w:r>
      <w:r w:rsidR="008B55F9" w:rsidRPr="008054B6">
        <w:rPr>
          <w:rFonts w:asciiTheme="minorHAnsi" w:hAnsiTheme="minorHAnsi"/>
          <w:sz w:val="22"/>
          <w:szCs w:val="22"/>
        </w:rPr>
        <w:t>ver 90 percent of beneficiary respondents</w:t>
      </w:r>
      <w:r w:rsidR="00270527" w:rsidRPr="008054B6">
        <w:rPr>
          <w:rFonts w:asciiTheme="minorHAnsi" w:hAnsiTheme="minorHAnsi"/>
          <w:sz w:val="22"/>
          <w:szCs w:val="22"/>
        </w:rPr>
        <w:t xml:space="preserve"> </w:t>
      </w:r>
      <w:r w:rsidR="008B55F9" w:rsidRPr="008054B6">
        <w:rPr>
          <w:rFonts w:asciiTheme="minorHAnsi" w:hAnsiTheme="minorHAnsi"/>
          <w:sz w:val="22"/>
          <w:szCs w:val="22"/>
        </w:rPr>
        <w:t>indicated total satisfaction with the voucher program in Kismayo; respondents in Mogadishu indicated unanimously that the voucher program was the best they had experienced and pointed to transparency and security as particularly notable</w:t>
      </w:r>
      <w:r w:rsidR="00F539D5" w:rsidRPr="008054B6">
        <w:rPr>
          <w:rFonts w:asciiTheme="minorHAnsi" w:hAnsiTheme="minorHAnsi"/>
          <w:sz w:val="22"/>
          <w:szCs w:val="22"/>
        </w:rPr>
        <w:t xml:space="preserve"> features of the program</w:t>
      </w:r>
      <w:r w:rsidR="008B55F9" w:rsidRPr="008054B6">
        <w:rPr>
          <w:rFonts w:asciiTheme="minorHAnsi" w:hAnsiTheme="minorHAnsi"/>
          <w:sz w:val="22"/>
          <w:szCs w:val="22"/>
        </w:rPr>
        <w:t xml:space="preserve">. </w:t>
      </w:r>
    </w:p>
    <w:p w14:paraId="02A4B3E6" w14:textId="71B99176" w:rsidR="00726C91" w:rsidRPr="008054B6" w:rsidRDefault="008054B6" w:rsidP="008054B6">
      <w:pPr>
        <w:pStyle w:val="yiv5386992270msonormal"/>
        <w:tabs>
          <w:tab w:val="left" w:pos="8192"/>
        </w:tabs>
        <w:spacing w:before="0" w:beforeAutospacing="0" w:after="0" w:afterAutospacing="0"/>
        <w:ind w:left="-360"/>
        <w:rPr>
          <w:rFonts w:asciiTheme="minorHAnsi" w:hAnsiTheme="minorHAnsi"/>
          <w:sz w:val="22"/>
          <w:szCs w:val="22"/>
        </w:rPr>
      </w:pPr>
      <w:r>
        <w:rPr>
          <w:rFonts w:asciiTheme="minorHAnsi" w:hAnsiTheme="minorHAnsi"/>
          <w:sz w:val="22"/>
          <w:szCs w:val="22"/>
        </w:rPr>
        <w:tab/>
      </w:r>
    </w:p>
    <w:p w14:paraId="3E07205D" w14:textId="4196E232" w:rsidR="002B7951" w:rsidRPr="008054B6" w:rsidRDefault="00270527" w:rsidP="008054B6">
      <w:pPr>
        <w:pStyle w:val="yiv5386992270msonormal"/>
        <w:shd w:val="clear" w:color="auto" w:fill="DEEAF6" w:themeFill="accent1" w:themeFillTint="33"/>
        <w:spacing w:before="0" w:beforeAutospacing="0" w:after="0" w:afterAutospacing="0"/>
        <w:ind w:left="-360"/>
        <w:rPr>
          <w:rFonts w:asciiTheme="minorHAnsi" w:hAnsiTheme="minorHAnsi"/>
          <w:i/>
          <w:sz w:val="22"/>
          <w:szCs w:val="22"/>
        </w:rPr>
      </w:pPr>
      <w:r w:rsidRPr="008054B6">
        <w:rPr>
          <w:rFonts w:asciiTheme="minorHAnsi" w:hAnsiTheme="minorHAnsi"/>
          <w:i/>
          <w:sz w:val="22"/>
          <w:szCs w:val="22"/>
        </w:rPr>
        <w:t xml:space="preserve">Assumption #2.  </w:t>
      </w:r>
      <w:r w:rsidR="00726C91" w:rsidRPr="008054B6">
        <w:rPr>
          <w:rFonts w:asciiTheme="minorHAnsi" w:hAnsiTheme="minorHAnsi"/>
          <w:i/>
          <w:sz w:val="22"/>
          <w:szCs w:val="22"/>
        </w:rPr>
        <w:t>Vendor</w:t>
      </w:r>
      <w:r w:rsidRPr="008054B6">
        <w:rPr>
          <w:rFonts w:asciiTheme="minorHAnsi" w:hAnsiTheme="minorHAnsi"/>
          <w:i/>
          <w:sz w:val="22"/>
          <w:szCs w:val="22"/>
        </w:rPr>
        <w:t xml:space="preserve"> c</w:t>
      </w:r>
      <w:r w:rsidR="002B7951" w:rsidRPr="008054B6">
        <w:rPr>
          <w:rFonts w:asciiTheme="minorHAnsi" w:hAnsiTheme="minorHAnsi"/>
          <w:i/>
          <w:sz w:val="22"/>
          <w:szCs w:val="22"/>
        </w:rPr>
        <w:t xml:space="preserve">apacity </w:t>
      </w:r>
      <w:r w:rsidRPr="008054B6">
        <w:rPr>
          <w:rFonts w:asciiTheme="minorHAnsi" w:hAnsiTheme="minorHAnsi"/>
          <w:i/>
          <w:sz w:val="22"/>
          <w:szCs w:val="22"/>
        </w:rPr>
        <w:t>is</w:t>
      </w:r>
      <w:r w:rsidR="002B7951" w:rsidRPr="008054B6">
        <w:rPr>
          <w:rFonts w:asciiTheme="minorHAnsi" w:hAnsiTheme="minorHAnsi"/>
          <w:i/>
          <w:sz w:val="22"/>
          <w:szCs w:val="22"/>
        </w:rPr>
        <w:t xml:space="preserve"> sufficient to support a large-scale voucher program in a timely fashion.</w:t>
      </w:r>
    </w:p>
    <w:p w14:paraId="07B6FD8E" w14:textId="3C117365" w:rsidR="00270527" w:rsidRPr="008054B6" w:rsidRDefault="008054B6" w:rsidP="008054B6">
      <w:pPr>
        <w:pStyle w:val="yiv5386992270msonormal"/>
        <w:spacing w:before="0" w:beforeAutospacing="0" w:after="0" w:afterAutospacing="0"/>
        <w:ind w:left="-360"/>
        <w:rPr>
          <w:rFonts w:asciiTheme="minorHAnsi" w:hAnsiTheme="minorHAnsi"/>
          <w:sz w:val="22"/>
          <w:szCs w:val="22"/>
        </w:rPr>
      </w:pPr>
      <w:r>
        <w:rPr>
          <w:rFonts w:asciiTheme="minorHAnsi" w:hAnsiTheme="minorHAnsi"/>
          <w:b/>
          <w:sz w:val="22"/>
          <w:szCs w:val="22"/>
        </w:rPr>
        <w:br/>
      </w:r>
      <w:r w:rsidR="005359FD" w:rsidRPr="008054B6">
        <w:rPr>
          <w:rFonts w:asciiTheme="minorHAnsi" w:hAnsiTheme="minorHAnsi"/>
          <w:b/>
          <w:sz w:val="22"/>
          <w:szCs w:val="22"/>
        </w:rPr>
        <w:t xml:space="preserve">PARTIALLY TRUE.  </w:t>
      </w:r>
      <w:r w:rsidR="00270527" w:rsidRPr="008054B6">
        <w:rPr>
          <w:rFonts w:asciiTheme="minorHAnsi" w:hAnsiTheme="minorHAnsi"/>
          <w:b/>
          <w:sz w:val="22"/>
          <w:szCs w:val="22"/>
        </w:rPr>
        <w:t>CRS/ Somalia’s initial market assessment indicated that the markets would be able to handle an increase in demand, without negative market impacts</w:t>
      </w:r>
      <w:r w:rsidR="005359FD" w:rsidRPr="008054B6">
        <w:rPr>
          <w:rFonts w:asciiTheme="minorHAnsi" w:hAnsiTheme="minorHAnsi"/>
          <w:b/>
          <w:sz w:val="22"/>
          <w:szCs w:val="22"/>
        </w:rPr>
        <w:t>; this was corroborated by program monitoring</w:t>
      </w:r>
      <w:r w:rsidR="00270527" w:rsidRPr="008054B6">
        <w:rPr>
          <w:rFonts w:asciiTheme="minorHAnsi" w:hAnsiTheme="minorHAnsi"/>
          <w:b/>
          <w:sz w:val="22"/>
          <w:szCs w:val="22"/>
        </w:rPr>
        <w:t>.  However,</w:t>
      </w:r>
      <w:r w:rsidR="00AD771D" w:rsidRPr="008054B6">
        <w:rPr>
          <w:rFonts w:asciiTheme="minorHAnsi" w:hAnsiTheme="minorHAnsi"/>
          <w:b/>
          <w:sz w:val="22"/>
          <w:szCs w:val="22"/>
        </w:rPr>
        <w:t xml:space="preserve"> </w:t>
      </w:r>
      <w:r w:rsidR="005359FD" w:rsidRPr="008054B6">
        <w:rPr>
          <w:rFonts w:asciiTheme="minorHAnsi" w:hAnsiTheme="minorHAnsi"/>
          <w:b/>
          <w:sz w:val="22"/>
          <w:szCs w:val="22"/>
        </w:rPr>
        <w:t>some vendors were initially not able to mitigate</w:t>
      </w:r>
      <w:r w:rsidR="00AD771D" w:rsidRPr="008054B6">
        <w:rPr>
          <w:rFonts w:asciiTheme="minorHAnsi" w:hAnsiTheme="minorHAnsi"/>
          <w:b/>
          <w:sz w:val="22"/>
          <w:szCs w:val="22"/>
        </w:rPr>
        <w:t xml:space="preserve"> security risks and </w:t>
      </w:r>
      <w:r w:rsidR="005359FD" w:rsidRPr="008054B6">
        <w:rPr>
          <w:rFonts w:asciiTheme="minorHAnsi" w:hAnsiTheme="minorHAnsi"/>
          <w:b/>
          <w:sz w:val="22"/>
          <w:szCs w:val="22"/>
        </w:rPr>
        <w:t>conduct basic business management</w:t>
      </w:r>
      <w:r w:rsidR="00AD771D" w:rsidRPr="008054B6">
        <w:rPr>
          <w:rFonts w:asciiTheme="minorHAnsi" w:hAnsiTheme="minorHAnsi"/>
          <w:b/>
          <w:sz w:val="22"/>
          <w:szCs w:val="22"/>
        </w:rPr>
        <w:t>.</w:t>
      </w:r>
      <w:r w:rsidR="005359FD" w:rsidRPr="008054B6">
        <w:rPr>
          <w:rFonts w:asciiTheme="minorHAnsi" w:hAnsiTheme="minorHAnsi"/>
          <w:sz w:val="22"/>
          <w:szCs w:val="22"/>
        </w:rPr>
        <w:t xml:space="preserve">  </w:t>
      </w:r>
      <w:r w:rsidR="00B0630E" w:rsidRPr="008054B6">
        <w:rPr>
          <w:rFonts w:asciiTheme="minorHAnsi" w:hAnsiTheme="minorHAnsi"/>
          <w:sz w:val="22"/>
          <w:szCs w:val="22"/>
        </w:rPr>
        <w:t>The success of the program</w:t>
      </w:r>
      <w:r w:rsidR="00CC5A80" w:rsidRPr="008054B6">
        <w:rPr>
          <w:rFonts w:asciiTheme="minorHAnsi" w:hAnsiTheme="minorHAnsi"/>
          <w:sz w:val="22"/>
          <w:szCs w:val="22"/>
        </w:rPr>
        <w:t xml:space="preserve"> as designed </w:t>
      </w:r>
      <w:r w:rsidR="00B0630E" w:rsidRPr="008054B6">
        <w:rPr>
          <w:rFonts w:asciiTheme="minorHAnsi" w:hAnsiTheme="minorHAnsi"/>
          <w:sz w:val="22"/>
          <w:szCs w:val="22"/>
        </w:rPr>
        <w:t>relied heavily on</w:t>
      </w:r>
      <w:r w:rsidR="00CC5A80" w:rsidRPr="008054B6">
        <w:rPr>
          <w:rFonts w:asciiTheme="minorHAnsi" w:hAnsiTheme="minorHAnsi"/>
          <w:sz w:val="22"/>
          <w:szCs w:val="22"/>
        </w:rPr>
        <w:t xml:space="preserve"> the capacity of participating vendors </w:t>
      </w:r>
      <w:r w:rsidR="00B0630E" w:rsidRPr="008054B6">
        <w:rPr>
          <w:rFonts w:asciiTheme="minorHAnsi" w:hAnsiTheme="minorHAnsi"/>
          <w:sz w:val="22"/>
          <w:szCs w:val="22"/>
        </w:rPr>
        <w:t xml:space="preserve">to absorb new capital, meet sourcing and supplying needs, and </w:t>
      </w:r>
      <w:r w:rsidR="00F543D1" w:rsidRPr="008054B6">
        <w:rPr>
          <w:rFonts w:asciiTheme="minorHAnsi" w:hAnsiTheme="minorHAnsi"/>
          <w:sz w:val="22"/>
          <w:szCs w:val="22"/>
        </w:rPr>
        <w:t>comply</w:t>
      </w:r>
      <w:r w:rsidR="00B0630E" w:rsidRPr="008054B6">
        <w:rPr>
          <w:rFonts w:asciiTheme="minorHAnsi" w:hAnsiTheme="minorHAnsi"/>
          <w:sz w:val="22"/>
          <w:szCs w:val="22"/>
        </w:rPr>
        <w:t xml:space="preserve"> with CRS regulations and policies for documentation and reporting.  </w:t>
      </w:r>
      <w:r w:rsidR="00CC5A80" w:rsidRPr="008054B6">
        <w:rPr>
          <w:rFonts w:asciiTheme="minorHAnsi" w:hAnsiTheme="minorHAnsi"/>
          <w:sz w:val="22"/>
          <w:szCs w:val="22"/>
        </w:rPr>
        <w:t xml:space="preserve">In the earliest stages of the program, </w:t>
      </w:r>
      <w:r w:rsidR="00B0630E" w:rsidRPr="008054B6">
        <w:rPr>
          <w:rFonts w:asciiTheme="minorHAnsi" w:hAnsiTheme="minorHAnsi"/>
          <w:sz w:val="22"/>
          <w:szCs w:val="22"/>
        </w:rPr>
        <w:t xml:space="preserve">CRS staff observed </w:t>
      </w:r>
      <w:r w:rsidR="00CC5A80" w:rsidRPr="008054B6">
        <w:rPr>
          <w:rFonts w:asciiTheme="minorHAnsi" w:hAnsiTheme="minorHAnsi"/>
          <w:sz w:val="22"/>
          <w:szCs w:val="22"/>
        </w:rPr>
        <w:t xml:space="preserve">significant </w:t>
      </w:r>
      <w:r w:rsidR="005359FD" w:rsidRPr="008054B6">
        <w:rPr>
          <w:rFonts w:asciiTheme="minorHAnsi" w:hAnsiTheme="minorHAnsi"/>
          <w:sz w:val="22"/>
          <w:szCs w:val="22"/>
        </w:rPr>
        <w:t>challenges with vendors</w:t>
      </w:r>
      <w:r w:rsidR="00B0630E" w:rsidRPr="008054B6">
        <w:rPr>
          <w:rFonts w:asciiTheme="minorHAnsi" w:hAnsiTheme="minorHAnsi"/>
          <w:sz w:val="22"/>
          <w:szCs w:val="22"/>
        </w:rPr>
        <w:t xml:space="preserve">, </w:t>
      </w:r>
      <w:r w:rsidR="00957FFD" w:rsidRPr="008054B6">
        <w:rPr>
          <w:rFonts w:asciiTheme="minorHAnsi" w:hAnsiTheme="minorHAnsi"/>
          <w:sz w:val="22"/>
          <w:szCs w:val="22"/>
        </w:rPr>
        <w:t>specifically:</w:t>
      </w:r>
      <w:r w:rsidR="00B0630E" w:rsidRPr="008054B6">
        <w:rPr>
          <w:rFonts w:asciiTheme="minorHAnsi" w:hAnsiTheme="minorHAnsi"/>
          <w:sz w:val="22"/>
          <w:szCs w:val="22"/>
        </w:rPr>
        <w:t xml:space="preserve"> </w:t>
      </w:r>
    </w:p>
    <w:p w14:paraId="71BE72EE" w14:textId="77777777" w:rsidR="00DD4CC4" w:rsidRPr="008054B6" w:rsidRDefault="00DD4CC4" w:rsidP="008054B6">
      <w:pPr>
        <w:pStyle w:val="yiv5386992270msonormal"/>
        <w:spacing w:before="0" w:beforeAutospacing="0" w:after="0" w:afterAutospacing="0"/>
        <w:ind w:left="-360"/>
        <w:rPr>
          <w:rFonts w:asciiTheme="minorHAnsi" w:hAnsiTheme="minorHAnsi"/>
          <w:sz w:val="22"/>
          <w:szCs w:val="22"/>
        </w:rPr>
      </w:pPr>
    </w:p>
    <w:p w14:paraId="5EF19ECF" w14:textId="025AE7A0" w:rsidR="00270527" w:rsidRPr="008054B6" w:rsidRDefault="00270527" w:rsidP="008054B6">
      <w:pPr>
        <w:pStyle w:val="yiv5386992270msonormal"/>
        <w:numPr>
          <w:ilvl w:val="0"/>
          <w:numId w:val="41"/>
        </w:numPr>
        <w:spacing w:before="0" w:beforeAutospacing="0" w:after="0" w:afterAutospacing="0"/>
        <w:rPr>
          <w:rFonts w:asciiTheme="minorHAnsi" w:hAnsiTheme="minorHAnsi"/>
          <w:sz w:val="22"/>
          <w:szCs w:val="22"/>
        </w:rPr>
      </w:pPr>
      <w:r w:rsidRPr="008054B6">
        <w:rPr>
          <w:rFonts w:asciiTheme="minorHAnsi" w:hAnsiTheme="minorHAnsi"/>
          <w:sz w:val="22"/>
          <w:szCs w:val="22"/>
        </w:rPr>
        <w:t xml:space="preserve">Illiteracy and low levels of numeracy; </w:t>
      </w:r>
    </w:p>
    <w:p w14:paraId="1EE65308" w14:textId="13C638EA" w:rsidR="00270527" w:rsidRPr="008054B6" w:rsidRDefault="00270527" w:rsidP="008054B6">
      <w:pPr>
        <w:pStyle w:val="yiv5386992270msonormal"/>
        <w:numPr>
          <w:ilvl w:val="0"/>
          <w:numId w:val="41"/>
        </w:numPr>
        <w:spacing w:before="0" w:beforeAutospacing="0" w:after="0" w:afterAutospacing="0"/>
        <w:rPr>
          <w:rFonts w:asciiTheme="minorHAnsi" w:hAnsiTheme="minorHAnsi"/>
          <w:sz w:val="22"/>
          <w:szCs w:val="22"/>
        </w:rPr>
      </w:pPr>
      <w:r w:rsidRPr="008054B6">
        <w:rPr>
          <w:rFonts w:asciiTheme="minorHAnsi" w:hAnsiTheme="minorHAnsi"/>
          <w:sz w:val="22"/>
          <w:szCs w:val="22"/>
        </w:rPr>
        <w:t>I</w:t>
      </w:r>
      <w:r w:rsidR="00B0630E" w:rsidRPr="008054B6">
        <w:rPr>
          <w:rFonts w:asciiTheme="minorHAnsi" w:hAnsiTheme="minorHAnsi"/>
          <w:sz w:val="22"/>
          <w:szCs w:val="22"/>
        </w:rPr>
        <w:t xml:space="preserve">nsufficient staffing </w:t>
      </w:r>
      <w:r w:rsidRPr="008054B6">
        <w:rPr>
          <w:rFonts w:asciiTheme="minorHAnsi" w:hAnsiTheme="minorHAnsi"/>
          <w:sz w:val="22"/>
          <w:szCs w:val="22"/>
        </w:rPr>
        <w:t>in vendor shops to respond to demand</w:t>
      </w:r>
      <w:r w:rsidR="001964FC" w:rsidRPr="008054B6">
        <w:rPr>
          <w:rFonts w:asciiTheme="minorHAnsi" w:hAnsiTheme="minorHAnsi"/>
          <w:sz w:val="22"/>
          <w:szCs w:val="22"/>
        </w:rPr>
        <w:t>,</w:t>
      </w:r>
      <w:r w:rsidRPr="008054B6">
        <w:rPr>
          <w:rFonts w:asciiTheme="minorHAnsi" w:hAnsiTheme="minorHAnsi"/>
          <w:sz w:val="22"/>
          <w:szCs w:val="22"/>
        </w:rPr>
        <w:t xml:space="preserve"> and</w:t>
      </w:r>
    </w:p>
    <w:p w14:paraId="61E336D9" w14:textId="17F47E93" w:rsidR="00270527" w:rsidRPr="008054B6" w:rsidRDefault="00270527" w:rsidP="008054B6">
      <w:pPr>
        <w:pStyle w:val="yiv5386992270msonormal"/>
        <w:numPr>
          <w:ilvl w:val="0"/>
          <w:numId w:val="41"/>
        </w:numPr>
        <w:spacing w:before="0" w:beforeAutospacing="0" w:after="0" w:afterAutospacing="0"/>
        <w:rPr>
          <w:rFonts w:asciiTheme="minorHAnsi" w:hAnsiTheme="minorHAnsi"/>
          <w:sz w:val="22"/>
          <w:szCs w:val="22"/>
        </w:rPr>
      </w:pPr>
      <w:r w:rsidRPr="008054B6">
        <w:rPr>
          <w:rFonts w:asciiTheme="minorHAnsi" w:hAnsiTheme="minorHAnsi"/>
          <w:sz w:val="22"/>
          <w:szCs w:val="22"/>
        </w:rPr>
        <w:t>L</w:t>
      </w:r>
      <w:r w:rsidR="00B0630E" w:rsidRPr="008054B6">
        <w:rPr>
          <w:rFonts w:asciiTheme="minorHAnsi" w:hAnsiTheme="minorHAnsi"/>
          <w:sz w:val="22"/>
          <w:szCs w:val="22"/>
        </w:rPr>
        <w:t xml:space="preserve">imited </w:t>
      </w:r>
      <w:r w:rsidRPr="008054B6">
        <w:rPr>
          <w:rFonts w:asciiTheme="minorHAnsi" w:hAnsiTheme="minorHAnsi"/>
          <w:sz w:val="22"/>
          <w:szCs w:val="22"/>
        </w:rPr>
        <w:t xml:space="preserve">vendor </w:t>
      </w:r>
      <w:r w:rsidR="00B0630E" w:rsidRPr="008054B6">
        <w:rPr>
          <w:rFonts w:asciiTheme="minorHAnsi" w:hAnsiTheme="minorHAnsi"/>
          <w:sz w:val="22"/>
          <w:szCs w:val="22"/>
        </w:rPr>
        <w:t xml:space="preserve">ability to meet required </w:t>
      </w:r>
      <w:r w:rsidRPr="008054B6">
        <w:rPr>
          <w:rFonts w:asciiTheme="minorHAnsi" w:hAnsiTheme="minorHAnsi"/>
          <w:sz w:val="22"/>
          <w:szCs w:val="22"/>
        </w:rPr>
        <w:t xml:space="preserve">CRS </w:t>
      </w:r>
      <w:r w:rsidR="00B0630E" w:rsidRPr="008054B6">
        <w:rPr>
          <w:rFonts w:asciiTheme="minorHAnsi" w:hAnsiTheme="minorHAnsi"/>
          <w:sz w:val="22"/>
          <w:szCs w:val="22"/>
        </w:rPr>
        <w:t>standards for documentation</w:t>
      </w:r>
      <w:r w:rsidRPr="008054B6">
        <w:rPr>
          <w:rFonts w:asciiTheme="minorHAnsi" w:hAnsiTheme="minorHAnsi"/>
          <w:sz w:val="22"/>
          <w:szCs w:val="22"/>
        </w:rPr>
        <w:t xml:space="preserve">, </w:t>
      </w:r>
      <w:r w:rsidR="005359FD" w:rsidRPr="008054B6">
        <w:rPr>
          <w:rFonts w:asciiTheme="minorHAnsi" w:hAnsiTheme="minorHAnsi"/>
          <w:sz w:val="22"/>
          <w:szCs w:val="22"/>
        </w:rPr>
        <w:t>financial accounting, and transparency</w:t>
      </w:r>
      <w:r w:rsidRPr="008054B6">
        <w:rPr>
          <w:rFonts w:asciiTheme="minorHAnsi" w:hAnsiTheme="minorHAnsi"/>
          <w:sz w:val="22"/>
          <w:szCs w:val="22"/>
        </w:rPr>
        <w:t>.</w:t>
      </w:r>
    </w:p>
    <w:p w14:paraId="3C753E08"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tbl>
      <w:tblPr>
        <w:tblStyle w:val="TableGrid"/>
        <w:tblpPr w:leftFromText="180" w:rightFromText="180" w:vertAnchor="text" w:horzAnchor="margin" w:tblpXSpec="center" w:tblpY="35"/>
        <w:tblOverlap w:val="never"/>
        <w:tblW w:w="0" w:type="auto"/>
        <w:tblBorders>
          <w:top w:val="dotted" w:sz="4" w:space="0" w:color="auto"/>
          <w:left w:val="dotted" w:sz="4" w:space="0" w:color="auto"/>
          <w:bottom w:val="none" w:sz="0" w:space="0" w:color="auto"/>
          <w:right w:val="dotted" w:sz="4" w:space="0" w:color="auto"/>
          <w:insideH w:val="dotted" w:sz="4" w:space="0" w:color="auto"/>
          <w:insideV w:val="dotted" w:sz="4" w:space="0" w:color="auto"/>
        </w:tblBorders>
        <w:tblLook w:val="04A0" w:firstRow="1" w:lastRow="0" w:firstColumn="1" w:lastColumn="0" w:noHBand="0" w:noVBand="1"/>
      </w:tblPr>
      <w:tblGrid>
        <w:gridCol w:w="974"/>
        <w:gridCol w:w="281"/>
        <w:gridCol w:w="1011"/>
        <w:gridCol w:w="1334"/>
        <w:gridCol w:w="1140"/>
        <w:gridCol w:w="974"/>
        <w:gridCol w:w="1890"/>
      </w:tblGrid>
      <w:tr w:rsidR="008054B6" w:rsidRPr="008054B6" w14:paraId="55425D76" w14:textId="77777777" w:rsidTr="008054B6">
        <w:tc>
          <w:tcPr>
            <w:tcW w:w="974" w:type="dxa"/>
            <w:tcBorders>
              <w:top w:val="nil"/>
              <w:left w:val="nil"/>
              <w:bottom w:val="dotted" w:sz="4" w:space="0" w:color="auto"/>
              <w:right w:val="nil"/>
            </w:tcBorders>
          </w:tcPr>
          <w:p w14:paraId="11A6045E" w14:textId="77777777" w:rsidR="008054B6" w:rsidRPr="008054B6" w:rsidRDefault="008054B6" w:rsidP="008054B6">
            <w:pPr>
              <w:rPr>
                <w:rFonts w:cs="Times New Roman"/>
                <w:b/>
              </w:rPr>
            </w:pPr>
          </w:p>
        </w:tc>
        <w:tc>
          <w:tcPr>
            <w:tcW w:w="6630" w:type="dxa"/>
            <w:gridSpan w:val="6"/>
            <w:tcBorders>
              <w:top w:val="nil"/>
              <w:left w:val="nil"/>
              <w:bottom w:val="dotted" w:sz="4" w:space="0" w:color="auto"/>
              <w:right w:val="nil"/>
            </w:tcBorders>
          </w:tcPr>
          <w:p w14:paraId="2902389B" w14:textId="77777777" w:rsidR="008054B6" w:rsidRPr="008054B6" w:rsidRDefault="008054B6" w:rsidP="008054B6">
            <w:pPr>
              <w:rPr>
                <w:rFonts w:cs="Times New Roman"/>
                <w:b/>
              </w:rPr>
            </w:pPr>
            <w:r w:rsidRPr="008054B6">
              <w:rPr>
                <w:rFonts w:cs="Times New Roman"/>
                <w:b/>
              </w:rPr>
              <w:t>Figure X. Estimated Capital Increase Per Participating Vendor</w:t>
            </w:r>
          </w:p>
        </w:tc>
      </w:tr>
      <w:tr w:rsidR="008054B6" w:rsidRPr="008054B6" w14:paraId="0F6338F8" w14:textId="77777777" w:rsidTr="008054B6">
        <w:tc>
          <w:tcPr>
            <w:tcW w:w="1255" w:type="dxa"/>
            <w:gridSpan w:val="2"/>
            <w:tcBorders>
              <w:top w:val="dotted" w:sz="4" w:space="0" w:color="auto"/>
              <w:bottom w:val="dotted" w:sz="4" w:space="0" w:color="auto"/>
            </w:tcBorders>
            <w:shd w:val="clear" w:color="auto" w:fill="DEEAF6" w:themeFill="accent1" w:themeFillTint="33"/>
          </w:tcPr>
          <w:p w14:paraId="6E0858D2" w14:textId="77777777" w:rsidR="008054B6" w:rsidRPr="008054B6" w:rsidRDefault="008054B6" w:rsidP="008054B6">
            <w:pPr>
              <w:rPr>
                <w:rFonts w:cs="Times New Roman"/>
                <w:b/>
              </w:rPr>
            </w:pPr>
            <w:r w:rsidRPr="008054B6">
              <w:rPr>
                <w:rFonts w:cs="Times New Roman"/>
                <w:b/>
              </w:rPr>
              <w:t>Project Location</w:t>
            </w:r>
          </w:p>
        </w:tc>
        <w:tc>
          <w:tcPr>
            <w:tcW w:w="1011" w:type="dxa"/>
            <w:tcBorders>
              <w:top w:val="dotted" w:sz="4" w:space="0" w:color="auto"/>
              <w:bottom w:val="dotted" w:sz="4" w:space="0" w:color="auto"/>
            </w:tcBorders>
            <w:shd w:val="clear" w:color="auto" w:fill="DEEAF6" w:themeFill="accent1" w:themeFillTint="33"/>
          </w:tcPr>
          <w:p w14:paraId="51447224" w14:textId="77777777" w:rsidR="008054B6" w:rsidRPr="008054B6" w:rsidRDefault="008054B6" w:rsidP="008054B6">
            <w:pPr>
              <w:rPr>
                <w:rFonts w:cs="Times New Roman"/>
                <w:b/>
              </w:rPr>
            </w:pPr>
            <w:r w:rsidRPr="008054B6">
              <w:rPr>
                <w:rFonts w:cs="Times New Roman"/>
                <w:b/>
              </w:rPr>
              <w:t>Number of Vendors</w:t>
            </w:r>
          </w:p>
        </w:tc>
        <w:tc>
          <w:tcPr>
            <w:tcW w:w="1334" w:type="dxa"/>
            <w:tcBorders>
              <w:top w:val="dotted" w:sz="4" w:space="0" w:color="auto"/>
              <w:bottom w:val="dotted" w:sz="4" w:space="0" w:color="auto"/>
            </w:tcBorders>
            <w:shd w:val="clear" w:color="auto" w:fill="DEEAF6" w:themeFill="accent1" w:themeFillTint="33"/>
          </w:tcPr>
          <w:p w14:paraId="49DBA0AD" w14:textId="77777777" w:rsidR="008054B6" w:rsidRPr="008054B6" w:rsidRDefault="008054B6" w:rsidP="008054B6">
            <w:pPr>
              <w:rPr>
                <w:rFonts w:cs="Times New Roman"/>
                <w:b/>
              </w:rPr>
            </w:pPr>
            <w:r w:rsidRPr="008054B6">
              <w:rPr>
                <w:rFonts w:cs="Times New Roman"/>
                <w:b/>
              </w:rPr>
              <w:t>Number of Beneficiary HHs</w:t>
            </w:r>
          </w:p>
        </w:tc>
        <w:tc>
          <w:tcPr>
            <w:tcW w:w="1140" w:type="dxa"/>
            <w:tcBorders>
              <w:top w:val="dotted" w:sz="4" w:space="0" w:color="auto"/>
              <w:bottom w:val="dotted" w:sz="4" w:space="0" w:color="auto"/>
            </w:tcBorders>
            <w:shd w:val="clear" w:color="auto" w:fill="DEEAF6" w:themeFill="accent1" w:themeFillTint="33"/>
          </w:tcPr>
          <w:p w14:paraId="09AFDF46" w14:textId="77777777" w:rsidR="008054B6" w:rsidRPr="008054B6" w:rsidRDefault="008054B6" w:rsidP="008054B6">
            <w:pPr>
              <w:rPr>
                <w:rFonts w:cs="Times New Roman"/>
                <w:b/>
              </w:rPr>
            </w:pPr>
            <w:r w:rsidRPr="008054B6">
              <w:rPr>
                <w:rFonts w:cs="Times New Roman"/>
                <w:b/>
              </w:rPr>
              <w:t>HHs per Vendor</w:t>
            </w:r>
          </w:p>
        </w:tc>
        <w:tc>
          <w:tcPr>
            <w:tcW w:w="974" w:type="dxa"/>
            <w:tcBorders>
              <w:top w:val="dotted" w:sz="4" w:space="0" w:color="auto"/>
              <w:bottom w:val="dotted" w:sz="4" w:space="0" w:color="auto"/>
            </w:tcBorders>
            <w:shd w:val="clear" w:color="auto" w:fill="DEEAF6" w:themeFill="accent1" w:themeFillTint="33"/>
          </w:tcPr>
          <w:p w14:paraId="3B152C6A" w14:textId="77777777" w:rsidR="008054B6" w:rsidRPr="008054B6" w:rsidRDefault="008054B6" w:rsidP="008054B6">
            <w:pPr>
              <w:rPr>
                <w:rFonts w:cs="Times New Roman"/>
                <w:b/>
              </w:rPr>
            </w:pPr>
            <w:r w:rsidRPr="008054B6">
              <w:rPr>
                <w:rFonts w:cs="Times New Roman"/>
                <w:b/>
              </w:rPr>
              <w:t>Value of voucher</w:t>
            </w:r>
          </w:p>
        </w:tc>
        <w:tc>
          <w:tcPr>
            <w:tcW w:w="1890" w:type="dxa"/>
            <w:tcBorders>
              <w:top w:val="dotted" w:sz="4" w:space="0" w:color="auto"/>
              <w:bottom w:val="dotted" w:sz="4" w:space="0" w:color="auto"/>
            </w:tcBorders>
            <w:shd w:val="clear" w:color="auto" w:fill="DEEAF6" w:themeFill="accent1" w:themeFillTint="33"/>
          </w:tcPr>
          <w:p w14:paraId="3655A9E3" w14:textId="77777777" w:rsidR="008054B6" w:rsidRPr="008054B6" w:rsidRDefault="008054B6" w:rsidP="008054B6">
            <w:pPr>
              <w:rPr>
                <w:rFonts w:cs="Times New Roman"/>
                <w:b/>
              </w:rPr>
            </w:pPr>
            <w:r w:rsidRPr="008054B6">
              <w:rPr>
                <w:rFonts w:cs="Times New Roman"/>
                <w:b/>
              </w:rPr>
              <w:t>*Estimated Average Increase in Capital flow per Vendor</w:t>
            </w:r>
          </w:p>
        </w:tc>
      </w:tr>
      <w:tr w:rsidR="008054B6" w:rsidRPr="008054B6" w14:paraId="7753B50F" w14:textId="77777777" w:rsidTr="008054B6">
        <w:tc>
          <w:tcPr>
            <w:tcW w:w="1255" w:type="dxa"/>
            <w:gridSpan w:val="2"/>
            <w:tcBorders>
              <w:top w:val="dotted" w:sz="4" w:space="0" w:color="auto"/>
            </w:tcBorders>
            <w:shd w:val="clear" w:color="auto" w:fill="DEEAF6" w:themeFill="accent1" w:themeFillTint="33"/>
          </w:tcPr>
          <w:p w14:paraId="6C8D2ADA" w14:textId="77777777" w:rsidR="008054B6" w:rsidRPr="008054B6" w:rsidRDefault="008054B6" w:rsidP="008054B6">
            <w:pPr>
              <w:rPr>
                <w:rFonts w:cs="Times New Roman"/>
              </w:rPr>
            </w:pPr>
            <w:r w:rsidRPr="008054B6">
              <w:rPr>
                <w:rFonts w:cs="Times New Roman"/>
              </w:rPr>
              <w:t>Kismayo</w:t>
            </w:r>
          </w:p>
        </w:tc>
        <w:tc>
          <w:tcPr>
            <w:tcW w:w="1011" w:type="dxa"/>
            <w:tcBorders>
              <w:top w:val="dotted" w:sz="4" w:space="0" w:color="auto"/>
            </w:tcBorders>
            <w:shd w:val="clear" w:color="auto" w:fill="DEEAF6" w:themeFill="accent1" w:themeFillTint="33"/>
          </w:tcPr>
          <w:p w14:paraId="7EB1E633" w14:textId="77777777" w:rsidR="008054B6" w:rsidRPr="008054B6" w:rsidRDefault="008054B6" w:rsidP="008054B6">
            <w:pPr>
              <w:rPr>
                <w:rFonts w:cs="Times New Roman"/>
              </w:rPr>
            </w:pPr>
            <w:r w:rsidRPr="008054B6">
              <w:rPr>
                <w:rFonts w:cs="Times New Roman"/>
              </w:rPr>
              <w:t>40</w:t>
            </w:r>
          </w:p>
        </w:tc>
        <w:tc>
          <w:tcPr>
            <w:tcW w:w="1334" w:type="dxa"/>
            <w:tcBorders>
              <w:top w:val="dotted" w:sz="4" w:space="0" w:color="auto"/>
            </w:tcBorders>
            <w:shd w:val="clear" w:color="auto" w:fill="DEEAF6" w:themeFill="accent1" w:themeFillTint="33"/>
          </w:tcPr>
          <w:p w14:paraId="09D94038" w14:textId="77777777" w:rsidR="008054B6" w:rsidRPr="008054B6" w:rsidRDefault="008054B6" w:rsidP="008054B6">
            <w:pPr>
              <w:rPr>
                <w:rFonts w:cs="Times New Roman"/>
              </w:rPr>
            </w:pPr>
            <w:r w:rsidRPr="008054B6">
              <w:rPr>
                <w:rFonts w:cs="Times New Roman"/>
              </w:rPr>
              <w:t>5,000</w:t>
            </w:r>
          </w:p>
        </w:tc>
        <w:tc>
          <w:tcPr>
            <w:tcW w:w="1140" w:type="dxa"/>
            <w:tcBorders>
              <w:top w:val="dotted" w:sz="4" w:space="0" w:color="auto"/>
            </w:tcBorders>
            <w:shd w:val="clear" w:color="auto" w:fill="DEEAF6" w:themeFill="accent1" w:themeFillTint="33"/>
          </w:tcPr>
          <w:p w14:paraId="6E816A66" w14:textId="77777777" w:rsidR="008054B6" w:rsidRPr="008054B6" w:rsidRDefault="008054B6" w:rsidP="008054B6">
            <w:pPr>
              <w:rPr>
                <w:rFonts w:cs="Times New Roman"/>
              </w:rPr>
            </w:pPr>
            <w:r w:rsidRPr="008054B6">
              <w:rPr>
                <w:rFonts w:cs="Times New Roman"/>
              </w:rPr>
              <w:t>125</w:t>
            </w:r>
          </w:p>
        </w:tc>
        <w:tc>
          <w:tcPr>
            <w:tcW w:w="974" w:type="dxa"/>
            <w:tcBorders>
              <w:top w:val="dotted" w:sz="4" w:space="0" w:color="auto"/>
            </w:tcBorders>
            <w:shd w:val="clear" w:color="auto" w:fill="DEEAF6" w:themeFill="accent1" w:themeFillTint="33"/>
          </w:tcPr>
          <w:p w14:paraId="75DBC4E3" w14:textId="77777777" w:rsidR="008054B6" w:rsidRPr="008054B6" w:rsidRDefault="008054B6" w:rsidP="008054B6">
            <w:pPr>
              <w:rPr>
                <w:rFonts w:cs="Times New Roman"/>
              </w:rPr>
            </w:pPr>
            <w:r w:rsidRPr="008054B6">
              <w:rPr>
                <w:rFonts w:cs="Times New Roman"/>
              </w:rPr>
              <w:t>63 USD</w:t>
            </w:r>
          </w:p>
        </w:tc>
        <w:tc>
          <w:tcPr>
            <w:tcW w:w="1890" w:type="dxa"/>
            <w:tcBorders>
              <w:top w:val="dotted" w:sz="4" w:space="0" w:color="auto"/>
            </w:tcBorders>
            <w:shd w:val="clear" w:color="auto" w:fill="DEEAF6" w:themeFill="accent1" w:themeFillTint="33"/>
          </w:tcPr>
          <w:p w14:paraId="0B1D1FA5" w14:textId="77777777" w:rsidR="008054B6" w:rsidRPr="008054B6" w:rsidRDefault="008054B6" w:rsidP="008054B6">
            <w:pPr>
              <w:rPr>
                <w:rFonts w:cs="Times New Roman"/>
              </w:rPr>
            </w:pPr>
            <w:r w:rsidRPr="008054B6">
              <w:rPr>
                <w:rFonts w:cs="Times New Roman"/>
              </w:rPr>
              <w:t>7,875 USD</w:t>
            </w:r>
          </w:p>
        </w:tc>
      </w:tr>
      <w:tr w:rsidR="008054B6" w:rsidRPr="008054B6" w14:paraId="7D8A8C6A" w14:textId="77777777" w:rsidTr="008054B6">
        <w:tc>
          <w:tcPr>
            <w:tcW w:w="1255" w:type="dxa"/>
            <w:gridSpan w:val="2"/>
            <w:shd w:val="clear" w:color="auto" w:fill="DEEAF6" w:themeFill="accent1" w:themeFillTint="33"/>
          </w:tcPr>
          <w:p w14:paraId="61560286" w14:textId="77777777" w:rsidR="008054B6" w:rsidRPr="008054B6" w:rsidRDefault="008054B6" w:rsidP="008054B6">
            <w:pPr>
              <w:rPr>
                <w:rFonts w:cs="Times New Roman"/>
              </w:rPr>
            </w:pPr>
            <w:r w:rsidRPr="008054B6">
              <w:rPr>
                <w:rFonts w:cs="Times New Roman"/>
              </w:rPr>
              <w:t>Baidoa</w:t>
            </w:r>
          </w:p>
        </w:tc>
        <w:tc>
          <w:tcPr>
            <w:tcW w:w="1011" w:type="dxa"/>
            <w:shd w:val="clear" w:color="auto" w:fill="DEEAF6" w:themeFill="accent1" w:themeFillTint="33"/>
          </w:tcPr>
          <w:p w14:paraId="3BABB51B" w14:textId="77777777" w:rsidR="008054B6" w:rsidRPr="008054B6" w:rsidRDefault="008054B6" w:rsidP="008054B6">
            <w:pPr>
              <w:rPr>
                <w:rFonts w:cs="Times New Roman"/>
              </w:rPr>
            </w:pPr>
            <w:r w:rsidRPr="008054B6">
              <w:rPr>
                <w:rFonts w:cs="Times New Roman"/>
              </w:rPr>
              <w:t>6</w:t>
            </w:r>
          </w:p>
        </w:tc>
        <w:tc>
          <w:tcPr>
            <w:tcW w:w="1334" w:type="dxa"/>
            <w:shd w:val="clear" w:color="auto" w:fill="DEEAF6" w:themeFill="accent1" w:themeFillTint="33"/>
          </w:tcPr>
          <w:p w14:paraId="454FB243" w14:textId="77777777" w:rsidR="008054B6" w:rsidRPr="008054B6" w:rsidRDefault="008054B6" w:rsidP="008054B6">
            <w:pPr>
              <w:rPr>
                <w:rFonts w:cs="Times New Roman"/>
              </w:rPr>
            </w:pPr>
            <w:r w:rsidRPr="008054B6">
              <w:rPr>
                <w:rFonts w:cs="Times New Roman"/>
              </w:rPr>
              <w:t>6,000</w:t>
            </w:r>
          </w:p>
        </w:tc>
        <w:tc>
          <w:tcPr>
            <w:tcW w:w="1140" w:type="dxa"/>
            <w:shd w:val="clear" w:color="auto" w:fill="DEEAF6" w:themeFill="accent1" w:themeFillTint="33"/>
          </w:tcPr>
          <w:p w14:paraId="1D768BEF" w14:textId="77777777" w:rsidR="008054B6" w:rsidRPr="008054B6" w:rsidRDefault="008054B6" w:rsidP="008054B6">
            <w:pPr>
              <w:rPr>
                <w:rFonts w:cs="Times New Roman"/>
              </w:rPr>
            </w:pPr>
            <w:r w:rsidRPr="008054B6">
              <w:rPr>
                <w:rFonts w:cs="Times New Roman"/>
              </w:rPr>
              <w:t>1,000</w:t>
            </w:r>
          </w:p>
        </w:tc>
        <w:tc>
          <w:tcPr>
            <w:tcW w:w="974" w:type="dxa"/>
            <w:shd w:val="clear" w:color="auto" w:fill="DEEAF6" w:themeFill="accent1" w:themeFillTint="33"/>
          </w:tcPr>
          <w:p w14:paraId="67E31043" w14:textId="77777777" w:rsidR="008054B6" w:rsidRPr="008054B6" w:rsidRDefault="008054B6" w:rsidP="008054B6">
            <w:pPr>
              <w:rPr>
                <w:rFonts w:cs="Times New Roman"/>
              </w:rPr>
            </w:pPr>
            <w:r w:rsidRPr="008054B6">
              <w:rPr>
                <w:rFonts w:cs="Times New Roman"/>
              </w:rPr>
              <w:t>50 USD</w:t>
            </w:r>
          </w:p>
        </w:tc>
        <w:tc>
          <w:tcPr>
            <w:tcW w:w="1890" w:type="dxa"/>
            <w:shd w:val="clear" w:color="auto" w:fill="DEEAF6" w:themeFill="accent1" w:themeFillTint="33"/>
          </w:tcPr>
          <w:p w14:paraId="0CF3BC46" w14:textId="77777777" w:rsidR="008054B6" w:rsidRPr="008054B6" w:rsidRDefault="008054B6" w:rsidP="008054B6">
            <w:pPr>
              <w:rPr>
                <w:rFonts w:cs="Times New Roman"/>
              </w:rPr>
            </w:pPr>
            <w:r w:rsidRPr="008054B6">
              <w:rPr>
                <w:rFonts w:cs="Times New Roman"/>
              </w:rPr>
              <w:t>50,000 USD</w:t>
            </w:r>
          </w:p>
        </w:tc>
      </w:tr>
      <w:tr w:rsidR="008054B6" w:rsidRPr="008054B6" w14:paraId="6734642F" w14:textId="77777777" w:rsidTr="008054B6">
        <w:tc>
          <w:tcPr>
            <w:tcW w:w="1255" w:type="dxa"/>
            <w:gridSpan w:val="2"/>
            <w:tcBorders>
              <w:bottom w:val="dotted" w:sz="4" w:space="0" w:color="auto"/>
            </w:tcBorders>
            <w:shd w:val="clear" w:color="auto" w:fill="DEEAF6" w:themeFill="accent1" w:themeFillTint="33"/>
          </w:tcPr>
          <w:p w14:paraId="4739A72F" w14:textId="77777777" w:rsidR="008054B6" w:rsidRPr="008054B6" w:rsidRDefault="008054B6" w:rsidP="008054B6">
            <w:pPr>
              <w:rPr>
                <w:rFonts w:cs="Times New Roman"/>
              </w:rPr>
            </w:pPr>
            <w:r w:rsidRPr="008054B6">
              <w:rPr>
                <w:rFonts w:cs="Times New Roman"/>
              </w:rPr>
              <w:t>Mogadishu</w:t>
            </w:r>
          </w:p>
        </w:tc>
        <w:tc>
          <w:tcPr>
            <w:tcW w:w="1011" w:type="dxa"/>
            <w:tcBorders>
              <w:bottom w:val="dotted" w:sz="4" w:space="0" w:color="auto"/>
            </w:tcBorders>
            <w:shd w:val="clear" w:color="auto" w:fill="DEEAF6" w:themeFill="accent1" w:themeFillTint="33"/>
          </w:tcPr>
          <w:p w14:paraId="09CF867A" w14:textId="77777777" w:rsidR="008054B6" w:rsidRPr="008054B6" w:rsidRDefault="008054B6" w:rsidP="008054B6">
            <w:pPr>
              <w:rPr>
                <w:rFonts w:cs="Times New Roman"/>
              </w:rPr>
            </w:pPr>
            <w:r w:rsidRPr="008054B6">
              <w:rPr>
                <w:rFonts w:cs="Times New Roman"/>
              </w:rPr>
              <w:t>12</w:t>
            </w:r>
          </w:p>
        </w:tc>
        <w:tc>
          <w:tcPr>
            <w:tcW w:w="1334" w:type="dxa"/>
            <w:tcBorders>
              <w:bottom w:val="dotted" w:sz="4" w:space="0" w:color="auto"/>
            </w:tcBorders>
            <w:shd w:val="clear" w:color="auto" w:fill="DEEAF6" w:themeFill="accent1" w:themeFillTint="33"/>
          </w:tcPr>
          <w:p w14:paraId="7966A5F9" w14:textId="77777777" w:rsidR="008054B6" w:rsidRPr="008054B6" w:rsidRDefault="008054B6" w:rsidP="008054B6">
            <w:pPr>
              <w:rPr>
                <w:rFonts w:cs="Times New Roman"/>
              </w:rPr>
            </w:pPr>
            <w:r w:rsidRPr="008054B6">
              <w:rPr>
                <w:rFonts w:cs="Times New Roman"/>
              </w:rPr>
              <w:t>6,000</w:t>
            </w:r>
          </w:p>
        </w:tc>
        <w:tc>
          <w:tcPr>
            <w:tcW w:w="1140" w:type="dxa"/>
            <w:tcBorders>
              <w:bottom w:val="dotted" w:sz="4" w:space="0" w:color="auto"/>
            </w:tcBorders>
            <w:shd w:val="clear" w:color="auto" w:fill="DEEAF6" w:themeFill="accent1" w:themeFillTint="33"/>
          </w:tcPr>
          <w:p w14:paraId="71FA2F60" w14:textId="77777777" w:rsidR="008054B6" w:rsidRPr="008054B6" w:rsidRDefault="008054B6" w:rsidP="008054B6">
            <w:pPr>
              <w:rPr>
                <w:rFonts w:cs="Times New Roman"/>
              </w:rPr>
            </w:pPr>
            <w:r w:rsidRPr="008054B6">
              <w:rPr>
                <w:rFonts w:cs="Times New Roman"/>
              </w:rPr>
              <w:t>500</w:t>
            </w:r>
          </w:p>
        </w:tc>
        <w:tc>
          <w:tcPr>
            <w:tcW w:w="974" w:type="dxa"/>
            <w:tcBorders>
              <w:bottom w:val="dotted" w:sz="4" w:space="0" w:color="auto"/>
            </w:tcBorders>
            <w:shd w:val="clear" w:color="auto" w:fill="DEEAF6" w:themeFill="accent1" w:themeFillTint="33"/>
          </w:tcPr>
          <w:p w14:paraId="25F861B3" w14:textId="77777777" w:rsidR="008054B6" w:rsidRPr="008054B6" w:rsidRDefault="008054B6" w:rsidP="008054B6">
            <w:pPr>
              <w:rPr>
                <w:rFonts w:cs="Times New Roman"/>
              </w:rPr>
            </w:pPr>
            <w:r w:rsidRPr="008054B6">
              <w:rPr>
                <w:rFonts w:cs="Times New Roman"/>
              </w:rPr>
              <w:t>50 USD</w:t>
            </w:r>
          </w:p>
        </w:tc>
        <w:tc>
          <w:tcPr>
            <w:tcW w:w="1890" w:type="dxa"/>
            <w:tcBorders>
              <w:bottom w:val="dotted" w:sz="4" w:space="0" w:color="auto"/>
            </w:tcBorders>
            <w:shd w:val="clear" w:color="auto" w:fill="DEEAF6" w:themeFill="accent1" w:themeFillTint="33"/>
          </w:tcPr>
          <w:p w14:paraId="44C8D230" w14:textId="77777777" w:rsidR="008054B6" w:rsidRPr="008054B6" w:rsidRDefault="008054B6" w:rsidP="008054B6">
            <w:pPr>
              <w:rPr>
                <w:rFonts w:cs="Times New Roman"/>
              </w:rPr>
            </w:pPr>
            <w:r w:rsidRPr="008054B6">
              <w:rPr>
                <w:rFonts w:cs="Times New Roman"/>
              </w:rPr>
              <w:t>25,000 USD</w:t>
            </w:r>
          </w:p>
        </w:tc>
      </w:tr>
      <w:tr w:rsidR="008054B6" w:rsidRPr="008054B6" w14:paraId="3C963CDD" w14:textId="77777777" w:rsidTr="008054B6">
        <w:tc>
          <w:tcPr>
            <w:tcW w:w="7604" w:type="dxa"/>
            <w:gridSpan w:val="7"/>
            <w:tcBorders>
              <w:top w:val="dotted" w:sz="4" w:space="0" w:color="auto"/>
              <w:left w:val="nil"/>
              <w:bottom w:val="nil"/>
              <w:right w:val="nil"/>
            </w:tcBorders>
          </w:tcPr>
          <w:p w14:paraId="5FF45CBA" w14:textId="77777777" w:rsidR="008054B6" w:rsidRPr="008054B6" w:rsidRDefault="008054B6" w:rsidP="008054B6">
            <w:pPr>
              <w:rPr>
                <w:rFonts w:cs="Times New Roman"/>
                <w:i/>
              </w:rPr>
            </w:pPr>
            <w:r w:rsidRPr="008054B6">
              <w:rPr>
                <w:rFonts w:cs="Times New Roman"/>
                <w:i/>
              </w:rPr>
              <w:t xml:space="preserve">*Note that estimates are not based on specific vendor data but represent average flows of new capital due to participation in the program.  Capital does not represent net profits, as vendors were reimbursed for the cost of goods at market price. </w:t>
            </w:r>
          </w:p>
        </w:tc>
      </w:tr>
    </w:tbl>
    <w:p w14:paraId="78D98F38"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4D586123"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5293570D"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797F77AB"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2A1ED52E"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7BE51B80"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1F5CFCE1"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4D5E157C"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2D6B1668"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00475DE4"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4CE99997"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38B624AD"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6AA9B656" w14:textId="77777777" w:rsidR="008054B6" w:rsidRDefault="008054B6" w:rsidP="008054B6">
      <w:pPr>
        <w:pStyle w:val="yiv5386992270msonormal"/>
        <w:spacing w:before="0" w:beforeAutospacing="0" w:after="0" w:afterAutospacing="0"/>
        <w:ind w:left="-360"/>
        <w:rPr>
          <w:rFonts w:asciiTheme="minorHAnsi" w:hAnsiTheme="minorHAnsi"/>
          <w:sz w:val="22"/>
          <w:szCs w:val="22"/>
        </w:rPr>
      </w:pPr>
    </w:p>
    <w:p w14:paraId="74CFB05C" w14:textId="75B877BB" w:rsidR="008B55F9" w:rsidRPr="008054B6" w:rsidRDefault="00B0630E" w:rsidP="008054B6">
      <w:pPr>
        <w:pStyle w:val="yiv5386992270msonormal"/>
        <w:spacing w:before="0" w:beforeAutospacing="0" w:after="0" w:afterAutospacing="0"/>
        <w:ind w:left="-360"/>
        <w:rPr>
          <w:rFonts w:asciiTheme="minorHAnsi" w:hAnsiTheme="minorHAnsi"/>
          <w:sz w:val="22"/>
          <w:szCs w:val="22"/>
        </w:rPr>
      </w:pPr>
      <w:r w:rsidRPr="008054B6">
        <w:rPr>
          <w:rFonts w:asciiTheme="minorHAnsi" w:hAnsiTheme="minorHAnsi"/>
          <w:sz w:val="22"/>
          <w:szCs w:val="22"/>
        </w:rPr>
        <w:t xml:space="preserve">In order to </w:t>
      </w:r>
      <w:r w:rsidR="00270527" w:rsidRPr="008054B6">
        <w:rPr>
          <w:rFonts w:asciiTheme="minorHAnsi" w:hAnsiTheme="minorHAnsi"/>
          <w:sz w:val="22"/>
          <w:szCs w:val="22"/>
        </w:rPr>
        <w:t>respond to these challenges</w:t>
      </w:r>
      <w:r w:rsidRPr="008054B6">
        <w:rPr>
          <w:rFonts w:asciiTheme="minorHAnsi" w:hAnsiTheme="minorHAnsi"/>
          <w:sz w:val="22"/>
          <w:szCs w:val="22"/>
        </w:rPr>
        <w:t xml:space="preserve">, CRS engaged in significant training, capacity building, guidance, and </w:t>
      </w:r>
      <w:r w:rsidR="00270527" w:rsidRPr="008054B6">
        <w:rPr>
          <w:rFonts w:asciiTheme="minorHAnsi" w:hAnsiTheme="minorHAnsi"/>
          <w:sz w:val="22"/>
          <w:szCs w:val="22"/>
        </w:rPr>
        <w:t xml:space="preserve">vendor observation.  CRS staff </w:t>
      </w:r>
      <w:r w:rsidRPr="008054B6">
        <w:rPr>
          <w:rFonts w:asciiTheme="minorHAnsi" w:hAnsiTheme="minorHAnsi"/>
          <w:sz w:val="22"/>
          <w:szCs w:val="22"/>
        </w:rPr>
        <w:t xml:space="preserve">also adjusted the </w:t>
      </w:r>
      <w:r w:rsidR="00270527" w:rsidRPr="008054B6">
        <w:rPr>
          <w:rFonts w:asciiTheme="minorHAnsi" w:hAnsiTheme="minorHAnsi"/>
          <w:sz w:val="22"/>
          <w:szCs w:val="22"/>
        </w:rPr>
        <w:t xml:space="preserve">number of vendors, reducing the program to about half the initial number of vendors; this </w:t>
      </w:r>
      <w:r w:rsidR="005359FD" w:rsidRPr="008054B6">
        <w:rPr>
          <w:rFonts w:asciiTheme="minorHAnsi" w:hAnsiTheme="minorHAnsi"/>
          <w:sz w:val="22"/>
          <w:szCs w:val="22"/>
        </w:rPr>
        <w:t>was sufficient to maintain a strong competition among vendors, but eased the management burden.</w:t>
      </w:r>
      <w:r w:rsidR="00461CD4" w:rsidRPr="008054B6">
        <w:rPr>
          <w:rFonts w:asciiTheme="minorHAnsi" w:hAnsiTheme="minorHAnsi"/>
          <w:sz w:val="22"/>
          <w:szCs w:val="22"/>
        </w:rPr>
        <w:t xml:space="preserve"> </w:t>
      </w:r>
      <w:r w:rsidR="000155D2" w:rsidRPr="008054B6">
        <w:rPr>
          <w:rFonts w:asciiTheme="minorHAnsi" w:hAnsiTheme="minorHAnsi"/>
          <w:sz w:val="22"/>
          <w:szCs w:val="22"/>
        </w:rPr>
        <w:t>With needed support and training, vendors were able to support a total maximum consumer base of approximately 5,000-6,000 households</w:t>
      </w:r>
      <w:r w:rsidR="00F539D5" w:rsidRPr="008054B6">
        <w:rPr>
          <w:rFonts w:asciiTheme="minorHAnsi" w:hAnsiTheme="minorHAnsi"/>
          <w:sz w:val="22"/>
          <w:szCs w:val="22"/>
        </w:rPr>
        <w:t xml:space="preserve"> </w:t>
      </w:r>
      <w:r w:rsidR="000155D2" w:rsidRPr="008054B6">
        <w:rPr>
          <w:rFonts w:asciiTheme="minorHAnsi" w:hAnsiTheme="minorHAnsi"/>
          <w:sz w:val="22"/>
          <w:szCs w:val="22"/>
        </w:rPr>
        <w:t xml:space="preserve">with sufficient supply chain management, procurement </w:t>
      </w:r>
      <w:r w:rsidR="00F539D5" w:rsidRPr="008054B6">
        <w:rPr>
          <w:rFonts w:asciiTheme="minorHAnsi" w:hAnsiTheme="minorHAnsi"/>
          <w:sz w:val="22"/>
          <w:szCs w:val="22"/>
        </w:rPr>
        <w:t>of necessary food commodity inputs and management</w:t>
      </w:r>
      <w:r w:rsidR="002A0091" w:rsidRPr="008054B6">
        <w:rPr>
          <w:rFonts w:asciiTheme="minorHAnsi" w:hAnsiTheme="minorHAnsi"/>
          <w:sz w:val="22"/>
          <w:szCs w:val="22"/>
        </w:rPr>
        <w:t xml:space="preserve"> </w:t>
      </w:r>
      <w:r w:rsidR="00F539D5" w:rsidRPr="008054B6">
        <w:rPr>
          <w:rFonts w:asciiTheme="minorHAnsi" w:hAnsiTheme="minorHAnsi"/>
          <w:sz w:val="22"/>
          <w:szCs w:val="22"/>
        </w:rPr>
        <w:t xml:space="preserve">of voucher transactions.   </w:t>
      </w:r>
      <w:r w:rsidR="008B55F9" w:rsidRPr="008054B6">
        <w:rPr>
          <w:rFonts w:asciiTheme="minorHAnsi" w:hAnsiTheme="minorHAnsi"/>
          <w:sz w:val="22"/>
          <w:szCs w:val="22"/>
        </w:rPr>
        <w:t>About 85</w:t>
      </w:r>
      <w:r w:rsidR="00957FFD" w:rsidRPr="008054B6">
        <w:rPr>
          <w:rFonts w:asciiTheme="minorHAnsi" w:hAnsiTheme="minorHAnsi"/>
          <w:sz w:val="22"/>
          <w:szCs w:val="22"/>
        </w:rPr>
        <w:t xml:space="preserve"> percent </w:t>
      </w:r>
      <w:r w:rsidR="008B55F9" w:rsidRPr="008054B6">
        <w:rPr>
          <w:rFonts w:asciiTheme="minorHAnsi" w:hAnsiTheme="minorHAnsi"/>
          <w:sz w:val="22"/>
          <w:szCs w:val="22"/>
        </w:rPr>
        <w:t>of the vendors (Kismayo) were able to meet the increased demand generated by the project, implying functional and effective</w:t>
      </w:r>
      <w:r w:rsidR="00F539D5" w:rsidRPr="008054B6">
        <w:rPr>
          <w:rFonts w:asciiTheme="minorHAnsi" w:hAnsiTheme="minorHAnsi"/>
          <w:sz w:val="22"/>
          <w:szCs w:val="22"/>
        </w:rPr>
        <w:t xml:space="preserve"> supply systems</w:t>
      </w:r>
      <w:r w:rsidR="008B55F9" w:rsidRPr="008054B6">
        <w:rPr>
          <w:rFonts w:asciiTheme="minorHAnsi" w:hAnsiTheme="minorHAnsi"/>
          <w:sz w:val="22"/>
          <w:szCs w:val="22"/>
        </w:rPr>
        <w:t>.</w:t>
      </w:r>
    </w:p>
    <w:p w14:paraId="026AF859" w14:textId="77777777" w:rsidR="00D54577" w:rsidRPr="008054B6" w:rsidRDefault="00D54577" w:rsidP="008054B6">
      <w:pPr>
        <w:pStyle w:val="yiv5386992270msonormal"/>
        <w:spacing w:before="0" w:beforeAutospacing="0" w:after="0" w:afterAutospacing="0"/>
        <w:ind w:left="-360"/>
        <w:rPr>
          <w:rFonts w:asciiTheme="minorHAnsi" w:hAnsiTheme="minorHAnsi"/>
          <w:sz w:val="22"/>
          <w:szCs w:val="22"/>
        </w:rPr>
      </w:pPr>
    </w:p>
    <w:p w14:paraId="3C0B2001" w14:textId="324C169D" w:rsidR="00984469" w:rsidRPr="008054B6" w:rsidRDefault="005359FD" w:rsidP="008054B6">
      <w:pPr>
        <w:pStyle w:val="yiv5386992270msonormal"/>
        <w:shd w:val="clear" w:color="auto" w:fill="DEEAF6" w:themeFill="accent1" w:themeFillTint="33"/>
        <w:spacing w:before="0" w:beforeAutospacing="0" w:after="0" w:afterAutospacing="0"/>
        <w:ind w:left="-360"/>
        <w:rPr>
          <w:rFonts w:asciiTheme="minorHAnsi" w:hAnsiTheme="minorHAnsi"/>
          <w:i/>
          <w:sz w:val="22"/>
          <w:szCs w:val="22"/>
        </w:rPr>
      </w:pPr>
      <w:r w:rsidRPr="008054B6">
        <w:rPr>
          <w:rFonts w:asciiTheme="minorHAnsi" w:hAnsiTheme="minorHAnsi"/>
          <w:i/>
          <w:sz w:val="22"/>
          <w:szCs w:val="22"/>
        </w:rPr>
        <w:lastRenderedPageBreak/>
        <w:t xml:space="preserve">Assumption #3.  </w:t>
      </w:r>
      <w:r w:rsidR="00B0630E" w:rsidRPr="008054B6">
        <w:rPr>
          <w:rFonts w:asciiTheme="minorHAnsi" w:hAnsiTheme="minorHAnsi"/>
          <w:i/>
          <w:sz w:val="22"/>
          <w:szCs w:val="22"/>
        </w:rPr>
        <w:t>T</w:t>
      </w:r>
      <w:r w:rsidR="002B7951" w:rsidRPr="008054B6">
        <w:rPr>
          <w:rFonts w:asciiTheme="minorHAnsi" w:hAnsiTheme="minorHAnsi"/>
          <w:i/>
          <w:sz w:val="22"/>
          <w:szCs w:val="22"/>
        </w:rPr>
        <w:t>he amount of the voucher was s</w:t>
      </w:r>
      <w:r w:rsidR="00F50C8A" w:rsidRPr="008054B6">
        <w:rPr>
          <w:rFonts w:asciiTheme="minorHAnsi" w:hAnsiTheme="minorHAnsi"/>
          <w:i/>
          <w:sz w:val="22"/>
          <w:szCs w:val="22"/>
        </w:rPr>
        <w:t xml:space="preserve">ufficient </w:t>
      </w:r>
      <w:r w:rsidR="002B7951" w:rsidRPr="008054B6">
        <w:rPr>
          <w:rFonts w:asciiTheme="minorHAnsi" w:hAnsiTheme="minorHAnsi"/>
          <w:i/>
          <w:sz w:val="22"/>
          <w:szCs w:val="22"/>
        </w:rPr>
        <w:t xml:space="preserve">to meet </w:t>
      </w:r>
      <w:r w:rsidR="00B0630E" w:rsidRPr="008054B6">
        <w:rPr>
          <w:rFonts w:asciiTheme="minorHAnsi" w:hAnsiTheme="minorHAnsi"/>
          <w:i/>
          <w:sz w:val="22"/>
          <w:szCs w:val="22"/>
        </w:rPr>
        <w:t>at least 50</w:t>
      </w:r>
      <w:r w:rsidR="002B7951" w:rsidRPr="008054B6">
        <w:rPr>
          <w:rFonts w:asciiTheme="minorHAnsi" w:hAnsiTheme="minorHAnsi"/>
          <w:i/>
          <w:sz w:val="22"/>
          <w:szCs w:val="22"/>
        </w:rPr>
        <w:t xml:space="preserve"> percent of basic household food needs per month</w:t>
      </w:r>
      <w:r w:rsidRPr="008054B6">
        <w:rPr>
          <w:rFonts w:asciiTheme="minorHAnsi" w:hAnsiTheme="minorHAnsi"/>
          <w:i/>
          <w:sz w:val="22"/>
          <w:szCs w:val="22"/>
        </w:rPr>
        <w:t>.  The additional financial flexibility provided by the voucher would allow</w:t>
      </w:r>
      <w:r w:rsidR="00967C39" w:rsidRPr="008054B6">
        <w:rPr>
          <w:rFonts w:asciiTheme="minorHAnsi" w:hAnsiTheme="minorHAnsi"/>
          <w:i/>
          <w:sz w:val="22"/>
          <w:szCs w:val="22"/>
        </w:rPr>
        <w:t xml:space="preserve"> households to supplement their monthly food intake with </w:t>
      </w:r>
      <w:r w:rsidR="00DE46EC" w:rsidRPr="008054B6">
        <w:rPr>
          <w:rFonts w:asciiTheme="minorHAnsi" w:hAnsiTheme="minorHAnsi"/>
          <w:i/>
          <w:sz w:val="22"/>
          <w:szCs w:val="22"/>
        </w:rPr>
        <w:t>healthy</w:t>
      </w:r>
      <w:r w:rsidR="00967C39" w:rsidRPr="008054B6">
        <w:rPr>
          <w:rFonts w:asciiTheme="minorHAnsi" w:hAnsiTheme="minorHAnsi"/>
          <w:i/>
          <w:sz w:val="22"/>
          <w:szCs w:val="22"/>
        </w:rPr>
        <w:t xml:space="preserve"> and diverse fruits, vegetables, and proteins</w:t>
      </w:r>
      <w:r w:rsidR="002B7951" w:rsidRPr="008054B6">
        <w:rPr>
          <w:rFonts w:asciiTheme="minorHAnsi" w:hAnsiTheme="minorHAnsi"/>
          <w:i/>
          <w:sz w:val="22"/>
          <w:szCs w:val="22"/>
        </w:rPr>
        <w:t>.</w:t>
      </w:r>
    </w:p>
    <w:p w14:paraId="1341102A" w14:textId="1A3EED87" w:rsidR="00F543D1" w:rsidRPr="008054B6" w:rsidRDefault="008054B6" w:rsidP="008054B6">
      <w:pPr>
        <w:pStyle w:val="yiv5386992270msonormal"/>
        <w:spacing w:before="0" w:beforeAutospacing="0" w:after="0" w:afterAutospacing="0"/>
        <w:ind w:left="-360"/>
        <w:rPr>
          <w:rFonts w:asciiTheme="minorHAnsi" w:hAnsiTheme="minorHAnsi"/>
          <w:sz w:val="22"/>
          <w:szCs w:val="22"/>
        </w:rPr>
      </w:pPr>
      <w:r>
        <w:rPr>
          <w:rFonts w:asciiTheme="minorHAnsi" w:hAnsiTheme="minorHAnsi"/>
          <w:b/>
          <w:sz w:val="22"/>
          <w:szCs w:val="22"/>
        </w:rPr>
        <w:br/>
      </w:r>
      <w:r w:rsidR="005359FD" w:rsidRPr="008054B6">
        <w:rPr>
          <w:rFonts w:asciiTheme="minorHAnsi" w:hAnsiTheme="minorHAnsi"/>
          <w:b/>
          <w:sz w:val="22"/>
          <w:szCs w:val="22"/>
        </w:rPr>
        <w:t xml:space="preserve">PARTIALLY TRUE.  </w:t>
      </w:r>
      <w:r w:rsidR="00AD771D" w:rsidRPr="008054B6">
        <w:rPr>
          <w:rFonts w:asciiTheme="minorHAnsi" w:hAnsiTheme="minorHAnsi"/>
          <w:b/>
          <w:sz w:val="22"/>
          <w:szCs w:val="22"/>
        </w:rPr>
        <w:t xml:space="preserve">In general, </w:t>
      </w:r>
      <w:r w:rsidR="005359FD" w:rsidRPr="008054B6">
        <w:rPr>
          <w:rFonts w:asciiTheme="minorHAnsi" w:hAnsiTheme="minorHAnsi"/>
          <w:b/>
          <w:sz w:val="22"/>
          <w:szCs w:val="22"/>
        </w:rPr>
        <w:t xml:space="preserve">it was assumed that a voucher covering </w:t>
      </w:r>
      <w:r w:rsidR="00AD771D" w:rsidRPr="008054B6">
        <w:rPr>
          <w:rFonts w:asciiTheme="minorHAnsi" w:hAnsiTheme="minorHAnsi"/>
          <w:b/>
          <w:sz w:val="22"/>
          <w:szCs w:val="22"/>
        </w:rPr>
        <w:t xml:space="preserve">50-70 percent of staple food needs </w:t>
      </w:r>
      <w:r w:rsidR="005359FD" w:rsidRPr="008054B6">
        <w:rPr>
          <w:rFonts w:asciiTheme="minorHAnsi" w:hAnsiTheme="minorHAnsi"/>
          <w:b/>
          <w:sz w:val="22"/>
          <w:szCs w:val="22"/>
        </w:rPr>
        <w:t xml:space="preserve">would enable </w:t>
      </w:r>
      <w:r w:rsidR="00AD771D" w:rsidRPr="008054B6">
        <w:rPr>
          <w:rFonts w:asciiTheme="minorHAnsi" w:hAnsiTheme="minorHAnsi"/>
          <w:b/>
          <w:sz w:val="22"/>
          <w:szCs w:val="22"/>
        </w:rPr>
        <w:t xml:space="preserve">each household member </w:t>
      </w:r>
      <w:r w:rsidR="005359FD" w:rsidRPr="008054B6">
        <w:rPr>
          <w:rFonts w:asciiTheme="minorHAnsi" w:hAnsiTheme="minorHAnsi"/>
          <w:b/>
          <w:sz w:val="22"/>
          <w:szCs w:val="22"/>
        </w:rPr>
        <w:t>to</w:t>
      </w:r>
      <w:r w:rsidR="00AD771D" w:rsidRPr="008054B6">
        <w:rPr>
          <w:rFonts w:asciiTheme="minorHAnsi" w:hAnsiTheme="minorHAnsi"/>
          <w:b/>
          <w:sz w:val="22"/>
          <w:szCs w:val="22"/>
        </w:rPr>
        <w:t xml:space="preserve"> consume an average of three meals day</w:t>
      </w:r>
      <w:r w:rsidR="005359FD" w:rsidRPr="008054B6">
        <w:rPr>
          <w:rFonts w:asciiTheme="minorHAnsi" w:hAnsiTheme="minorHAnsi"/>
          <w:b/>
          <w:sz w:val="22"/>
          <w:szCs w:val="22"/>
        </w:rPr>
        <w:t>, for 2-4 weeks</w:t>
      </w:r>
      <w:r w:rsidR="00AD771D" w:rsidRPr="008054B6">
        <w:rPr>
          <w:rFonts w:asciiTheme="minorHAnsi" w:hAnsiTheme="minorHAnsi"/>
          <w:b/>
          <w:sz w:val="22"/>
          <w:szCs w:val="22"/>
        </w:rPr>
        <w:t xml:space="preserve">. Project evaluation survey results suggested that food needs for 2-3 weeks were met, although </w:t>
      </w:r>
      <w:r w:rsidR="005359FD" w:rsidRPr="008054B6">
        <w:rPr>
          <w:rFonts w:asciiTheme="minorHAnsi" w:hAnsiTheme="minorHAnsi"/>
          <w:b/>
          <w:sz w:val="22"/>
          <w:szCs w:val="22"/>
        </w:rPr>
        <w:t xml:space="preserve">for </w:t>
      </w:r>
      <w:r w:rsidR="00AD771D" w:rsidRPr="008054B6">
        <w:rPr>
          <w:rFonts w:asciiTheme="minorHAnsi" w:hAnsiTheme="minorHAnsi"/>
          <w:b/>
          <w:sz w:val="22"/>
          <w:szCs w:val="22"/>
        </w:rPr>
        <w:t>at least 50 percent of participating households</w:t>
      </w:r>
      <w:r w:rsidR="005359FD" w:rsidRPr="008054B6">
        <w:rPr>
          <w:rFonts w:asciiTheme="minorHAnsi" w:hAnsiTheme="minorHAnsi"/>
          <w:b/>
          <w:sz w:val="22"/>
          <w:szCs w:val="22"/>
        </w:rPr>
        <w:t>, this did not enable each household member to eat 3 meals a day</w:t>
      </w:r>
      <w:r w:rsidR="00AD771D" w:rsidRPr="008054B6">
        <w:rPr>
          <w:rFonts w:asciiTheme="minorHAnsi" w:hAnsiTheme="minorHAnsi"/>
          <w:b/>
          <w:sz w:val="22"/>
          <w:szCs w:val="22"/>
        </w:rPr>
        <w:t>.</w:t>
      </w:r>
      <w:r w:rsidR="00AD771D" w:rsidRPr="008054B6">
        <w:rPr>
          <w:rFonts w:asciiTheme="minorHAnsi" w:hAnsiTheme="minorHAnsi"/>
          <w:sz w:val="22"/>
          <w:szCs w:val="22"/>
        </w:rPr>
        <w:t xml:space="preserve">  </w:t>
      </w:r>
      <w:r w:rsidR="00F50C8A" w:rsidRPr="008054B6">
        <w:rPr>
          <w:rFonts w:asciiTheme="minorHAnsi" w:hAnsiTheme="minorHAnsi"/>
          <w:sz w:val="22"/>
          <w:szCs w:val="22"/>
        </w:rPr>
        <w:t>The amount of the voucher in all programs was determined through a calculation of household staple food needs over the course of a month.  The intended use of vouchers was to allow households to procure 50-70 percent of their food needs for an average family size of 6.</w:t>
      </w:r>
      <w:r w:rsidR="00022284" w:rsidRPr="008054B6">
        <w:rPr>
          <w:rFonts w:asciiTheme="minorHAnsi" w:hAnsiTheme="minorHAnsi"/>
          <w:sz w:val="22"/>
          <w:szCs w:val="22"/>
        </w:rPr>
        <w:t xml:space="preserve"> The proportion of food needs met by the voucher was not intended to cover all household needs, in an effort to decrease the likelihood of dependence and to allow households discretion in the purchase of supplementary food needs</w:t>
      </w:r>
      <w:r w:rsidR="003332CC" w:rsidRPr="008054B6">
        <w:rPr>
          <w:rFonts w:asciiTheme="minorHAnsi" w:hAnsiTheme="minorHAnsi"/>
          <w:sz w:val="22"/>
          <w:szCs w:val="22"/>
        </w:rPr>
        <w:t xml:space="preserve">. </w:t>
      </w:r>
      <w:r w:rsidR="00AD771D" w:rsidRPr="008054B6">
        <w:rPr>
          <w:rFonts w:asciiTheme="minorHAnsi" w:hAnsiTheme="minorHAnsi"/>
          <w:sz w:val="22"/>
          <w:szCs w:val="22"/>
        </w:rPr>
        <w:t xml:space="preserve">In Kismayo, food assistance lasted for three weeks for 54 percent of beneficiary households and four weeks or more for 39 percent of the beneficiaries.  </w:t>
      </w:r>
    </w:p>
    <w:p w14:paraId="4A015E28" w14:textId="77777777" w:rsidR="00AD771D" w:rsidRPr="008054B6" w:rsidRDefault="00AD771D" w:rsidP="008054B6">
      <w:pPr>
        <w:pStyle w:val="yiv5386992270msonormal"/>
        <w:spacing w:before="0" w:beforeAutospacing="0" w:after="0" w:afterAutospacing="0"/>
        <w:ind w:left="-360"/>
        <w:rPr>
          <w:rFonts w:asciiTheme="minorHAnsi" w:hAnsiTheme="minorHAnsi"/>
          <w:sz w:val="22"/>
          <w:szCs w:val="22"/>
        </w:rPr>
      </w:pPr>
    </w:p>
    <w:p w14:paraId="25F632E2" w14:textId="23F25A3F" w:rsidR="003301C0" w:rsidRPr="008054B6" w:rsidRDefault="00AD771D" w:rsidP="008054B6">
      <w:pPr>
        <w:pStyle w:val="yiv5386992270msonormal"/>
        <w:spacing w:before="0" w:beforeAutospacing="0" w:after="0" w:afterAutospacing="0"/>
        <w:ind w:left="-360"/>
        <w:rPr>
          <w:rFonts w:asciiTheme="minorHAnsi" w:hAnsiTheme="minorHAnsi"/>
          <w:sz w:val="22"/>
          <w:szCs w:val="22"/>
        </w:rPr>
      </w:pPr>
      <w:r w:rsidRPr="008054B6">
        <w:rPr>
          <w:rFonts w:asciiTheme="minorHAnsi" w:hAnsiTheme="minorHAnsi"/>
          <w:b/>
          <w:sz w:val="22"/>
          <w:szCs w:val="22"/>
        </w:rPr>
        <w:t>Households frequently shared their food assistance (as much as 25 percent) with other vulnerable members of their community, family, and social network</w:t>
      </w:r>
      <w:r w:rsidRPr="008054B6">
        <w:rPr>
          <w:rFonts w:asciiTheme="minorHAnsi" w:hAnsiTheme="minorHAnsi"/>
          <w:sz w:val="22"/>
          <w:szCs w:val="22"/>
        </w:rPr>
        <w:t xml:space="preserve">, particularly in the Mogadishu program communities.  </w:t>
      </w:r>
      <w:r w:rsidR="00022284" w:rsidRPr="008054B6">
        <w:rPr>
          <w:rFonts w:asciiTheme="minorHAnsi" w:hAnsiTheme="minorHAnsi"/>
          <w:sz w:val="22"/>
          <w:szCs w:val="22"/>
        </w:rPr>
        <w:t>While feedback from project reporting, final evaluation surveys, and beneficiary feedback indicated that food assistance was sufficient to dramatically increase food security outcome</w:t>
      </w:r>
      <w:r w:rsidR="00976250" w:rsidRPr="008054B6">
        <w:rPr>
          <w:rFonts w:asciiTheme="minorHAnsi" w:hAnsiTheme="minorHAnsi"/>
          <w:sz w:val="22"/>
          <w:szCs w:val="22"/>
        </w:rPr>
        <w:t>s in terms of dietary diversity</w:t>
      </w:r>
      <w:r w:rsidR="005359FD" w:rsidRPr="008054B6">
        <w:rPr>
          <w:rFonts w:asciiTheme="minorHAnsi" w:hAnsiTheme="minorHAnsi"/>
          <w:sz w:val="22"/>
          <w:szCs w:val="22"/>
        </w:rPr>
        <w:t xml:space="preserve"> and</w:t>
      </w:r>
      <w:r w:rsidR="00976250" w:rsidRPr="008054B6">
        <w:rPr>
          <w:rFonts w:asciiTheme="minorHAnsi" w:hAnsiTheme="minorHAnsi"/>
          <w:sz w:val="22"/>
          <w:szCs w:val="22"/>
        </w:rPr>
        <w:t xml:space="preserve"> </w:t>
      </w:r>
      <w:r w:rsidR="00022284" w:rsidRPr="008054B6">
        <w:rPr>
          <w:rFonts w:asciiTheme="minorHAnsi" w:hAnsiTheme="minorHAnsi"/>
          <w:sz w:val="22"/>
          <w:szCs w:val="22"/>
        </w:rPr>
        <w:t>number of meals consumed</w:t>
      </w:r>
      <w:r w:rsidR="00976250" w:rsidRPr="008054B6">
        <w:rPr>
          <w:rFonts w:asciiTheme="minorHAnsi" w:hAnsiTheme="minorHAnsi"/>
          <w:sz w:val="22"/>
          <w:szCs w:val="22"/>
        </w:rPr>
        <w:t xml:space="preserve"> per </w:t>
      </w:r>
      <w:r w:rsidR="001964FC" w:rsidRPr="008054B6">
        <w:rPr>
          <w:rFonts w:asciiTheme="minorHAnsi" w:hAnsiTheme="minorHAnsi"/>
          <w:sz w:val="22"/>
          <w:szCs w:val="22"/>
        </w:rPr>
        <w:t xml:space="preserve">beneficiary </w:t>
      </w:r>
      <w:r w:rsidR="00976250" w:rsidRPr="008054B6">
        <w:rPr>
          <w:rFonts w:asciiTheme="minorHAnsi" w:hAnsiTheme="minorHAnsi"/>
          <w:sz w:val="22"/>
          <w:szCs w:val="22"/>
        </w:rPr>
        <w:t>household</w:t>
      </w:r>
      <w:r w:rsidR="00022284" w:rsidRPr="008054B6">
        <w:rPr>
          <w:rFonts w:asciiTheme="minorHAnsi" w:hAnsiTheme="minorHAnsi"/>
          <w:sz w:val="22"/>
          <w:szCs w:val="22"/>
        </w:rPr>
        <w:t xml:space="preserve">, </w:t>
      </w:r>
      <w:r w:rsidR="00976250" w:rsidRPr="008054B6">
        <w:rPr>
          <w:rFonts w:asciiTheme="minorHAnsi" w:hAnsiTheme="minorHAnsi"/>
          <w:sz w:val="22"/>
          <w:szCs w:val="22"/>
        </w:rPr>
        <w:t xml:space="preserve">people shared.  Thus, </w:t>
      </w:r>
      <w:r w:rsidR="00DE46EC" w:rsidRPr="008054B6">
        <w:rPr>
          <w:rFonts w:asciiTheme="minorHAnsi" w:hAnsiTheme="minorHAnsi"/>
          <w:sz w:val="22"/>
          <w:szCs w:val="22"/>
        </w:rPr>
        <w:t xml:space="preserve">community solidarity and safety net systems </w:t>
      </w:r>
      <w:r w:rsidR="00976250" w:rsidRPr="008054B6">
        <w:rPr>
          <w:rFonts w:asciiTheme="minorHAnsi" w:hAnsiTheme="minorHAnsi"/>
          <w:sz w:val="22"/>
          <w:szCs w:val="22"/>
        </w:rPr>
        <w:t xml:space="preserve">reduced the total amount of food per household, while increasing the community benefits.  This is an interesting finding in an urban setting, where the social fabric is </w:t>
      </w:r>
      <w:r w:rsidR="001964FC" w:rsidRPr="008054B6">
        <w:rPr>
          <w:rFonts w:asciiTheme="minorHAnsi" w:hAnsiTheme="minorHAnsi"/>
          <w:sz w:val="22"/>
          <w:szCs w:val="22"/>
        </w:rPr>
        <w:t xml:space="preserve">often </w:t>
      </w:r>
      <w:r w:rsidR="00976250" w:rsidRPr="008054B6">
        <w:rPr>
          <w:rFonts w:asciiTheme="minorHAnsi" w:hAnsiTheme="minorHAnsi"/>
          <w:sz w:val="22"/>
          <w:szCs w:val="22"/>
        </w:rPr>
        <w:t>not considered as strong as in rural communities</w:t>
      </w:r>
      <w:r w:rsidR="00DE46EC" w:rsidRPr="008054B6">
        <w:rPr>
          <w:rFonts w:asciiTheme="minorHAnsi" w:hAnsiTheme="minorHAnsi"/>
          <w:sz w:val="22"/>
          <w:szCs w:val="22"/>
        </w:rPr>
        <w:t xml:space="preserve">.  </w:t>
      </w:r>
    </w:p>
    <w:p w14:paraId="44F0213F" w14:textId="77777777" w:rsidR="003301C0" w:rsidRPr="008054B6" w:rsidRDefault="003301C0" w:rsidP="008054B6">
      <w:pPr>
        <w:pStyle w:val="yiv5386992270msonormal"/>
        <w:spacing w:before="0" w:beforeAutospacing="0" w:after="0" w:afterAutospacing="0"/>
        <w:ind w:left="-360"/>
        <w:rPr>
          <w:rFonts w:asciiTheme="minorHAnsi" w:hAnsiTheme="minorHAnsi"/>
          <w:sz w:val="22"/>
          <w:szCs w:val="22"/>
        </w:rPr>
      </w:pPr>
    </w:p>
    <w:p w14:paraId="1442E256" w14:textId="40B62DE3" w:rsidR="00D54577" w:rsidRPr="008054B6" w:rsidRDefault="00F543D1" w:rsidP="008054B6">
      <w:pPr>
        <w:pStyle w:val="yiv5386992270msonormal"/>
        <w:spacing w:before="0" w:beforeAutospacing="0" w:after="0" w:afterAutospacing="0"/>
        <w:ind w:left="-360"/>
        <w:rPr>
          <w:rFonts w:asciiTheme="minorHAnsi" w:hAnsiTheme="minorHAnsi"/>
          <w:sz w:val="22"/>
          <w:szCs w:val="22"/>
        </w:rPr>
      </w:pPr>
      <w:r w:rsidRPr="008054B6">
        <w:rPr>
          <w:rFonts w:asciiTheme="minorHAnsi" w:hAnsiTheme="minorHAnsi"/>
          <w:b/>
          <w:sz w:val="22"/>
          <w:szCs w:val="22"/>
        </w:rPr>
        <w:t>Households participating in the voucher program ate four times more roots and tubers</w:t>
      </w:r>
      <w:r w:rsidR="003301C0" w:rsidRPr="008054B6">
        <w:rPr>
          <w:rFonts w:asciiTheme="minorHAnsi" w:hAnsiTheme="minorHAnsi"/>
          <w:b/>
          <w:sz w:val="22"/>
          <w:szCs w:val="22"/>
        </w:rPr>
        <w:t>, nearly twice as many dark green vegetables, nearly 10 times more fruits, and twice as much meat when compared to</w:t>
      </w:r>
      <w:r w:rsidRPr="008054B6">
        <w:rPr>
          <w:rFonts w:asciiTheme="minorHAnsi" w:hAnsiTheme="minorHAnsi"/>
          <w:b/>
          <w:sz w:val="22"/>
          <w:szCs w:val="22"/>
        </w:rPr>
        <w:t xml:space="preserve"> non-beneficiary households</w:t>
      </w:r>
      <w:r w:rsidR="003301C0" w:rsidRPr="008054B6">
        <w:rPr>
          <w:rFonts w:asciiTheme="minorHAnsi" w:hAnsiTheme="minorHAnsi"/>
          <w:b/>
          <w:sz w:val="22"/>
          <w:szCs w:val="22"/>
        </w:rPr>
        <w:t xml:space="preserve"> in Kismayo</w:t>
      </w:r>
      <w:r w:rsidRPr="008054B6">
        <w:rPr>
          <w:rFonts w:asciiTheme="minorHAnsi" w:hAnsiTheme="minorHAnsi"/>
          <w:b/>
          <w:sz w:val="22"/>
          <w:szCs w:val="22"/>
        </w:rPr>
        <w:t>.</w:t>
      </w:r>
      <w:r w:rsidRPr="008054B6">
        <w:rPr>
          <w:rFonts w:asciiTheme="minorHAnsi" w:hAnsiTheme="minorHAnsi"/>
          <w:sz w:val="22"/>
          <w:szCs w:val="22"/>
        </w:rPr>
        <w:t xml:space="preserve">  </w:t>
      </w:r>
      <w:r w:rsidR="00AD771D" w:rsidRPr="008054B6">
        <w:rPr>
          <w:rFonts w:asciiTheme="minorHAnsi" w:hAnsiTheme="minorHAnsi"/>
          <w:sz w:val="22"/>
          <w:szCs w:val="22"/>
        </w:rPr>
        <w:t xml:space="preserve">While food baskets exchanged for vouchers did not include perishable items, beneficiaries consumed more supplementary nutrient-rich foods than non-beneficiary households, indicating that increased purchasing power promoted the purchase of more diverse and nutritious food groups.  </w:t>
      </w:r>
      <w:r w:rsidR="00D54577" w:rsidRPr="008054B6">
        <w:rPr>
          <w:rFonts w:asciiTheme="minorHAnsi" w:hAnsiTheme="minorHAnsi"/>
          <w:sz w:val="22"/>
          <w:szCs w:val="22"/>
        </w:rPr>
        <w:t xml:space="preserve">These results suggest that the voucher program </w:t>
      </w:r>
      <w:r w:rsidR="00682E3C" w:rsidRPr="008054B6">
        <w:rPr>
          <w:rFonts w:asciiTheme="minorHAnsi" w:hAnsiTheme="minorHAnsi"/>
          <w:sz w:val="22"/>
          <w:szCs w:val="22"/>
        </w:rPr>
        <w:t xml:space="preserve">is </w:t>
      </w:r>
      <w:r w:rsidR="00D54577" w:rsidRPr="008054B6">
        <w:rPr>
          <w:rFonts w:asciiTheme="minorHAnsi" w:hAnsiTheme="minorHAnsi"/>
          <w:sz w:val="22"/>
          <w:szCs w:val="22"/>
        </w:rPr>
        <w:t xml:space="preserve">effective in </w:t>
      </w:r>
      <w:r w:rsidR="00682E3C" w:rsidRPr="008054B6">
        <w:rPr>
          <w:rFonts w:asciiTheme="minorHAnsi" w:hAnsiTheme="minorHAnsi"/>
          <w:sz w:val="22"/>
          <w:szCs w:val="22"/>
        </w:rPr>
        <w:t xml:space="preserve">promoting the consumption of higher nutrient and diverse food groups.  </w:t>
      </w:r>
      <w:r w:rsidR="00B54161" w:rsidRPr="008054B6">
        <w:rPr>
          <w:rFonts w:asciiTheme="minorHAnsi" w:hAnsiTheme="minorHAnsi"/>
          <w:sz w:val="22"/>
          <w:szCs w:val="22"/>
        </w:rPr>
        <w:t>Households in Baidoa tended to consume the most vegetables and fruits outside of their monthly food assistance package provided by the CRS voucher.</w:t>
      </w:r>
      <w:r w:rsidR="00976250" w:rsidRPr="008054B6">
        <w:rPr>
          <w:rFonts w:asciiTheme="minorHAnsi" w:hAnsiTheme="minorHAnsi"/>
          <w:sz w:val="22"/>
          <w:szCs w:val="22"/>
        </w:rPr>
        <w:t xml:space="preserve"> These results also suggest that such a cash-based program can have an impact on supporting local farmers and local production, as people may increase their consumption of such foods.</w:t>
      </w:r>
      <w:r w:rsidR="000D2346" w:rsidRPr="008054B6">
        <w:rPr>
          <w:rFonts w:asciiTheme="minorHAnsi" w:hAnsiTheme="minorHAnsi"/>
          <w:sz w:val="22"/>
          <w:szCs w:val="22"/>
        </w:rPr>
        <w:t xml:space="preserve"> More study and attention is needed to this important aspect of rural-urban linkages. Reinforcing the cyclical and seasonal links between rural and urban areas will require attention to the balance between providing assistance and ensuring resilience, recognizing that both urban and rural economies play a role in food access, availability, and stability.  </w:t>
      </w:r>
    </w:p>
    <w:p w14:paraId="5272B898" w14:textId="77777777" w:rsidR="00984469" w:rsidRPr="008054B6" w:rsidRDefault="00984469" w:rsidP="008054B6">
      <w:pPr>
        <w:pStyle w:val="yiv5386992270msonormal"/>
        <w:spacing w:before="0" w:beforeAutospacing="0" w:after="0" w:afterAutospacing="0"/>
        <w:ind w:left="-360"/>
        <w:rPr>
          <w:rFonts w:asciiTheme="minorHAnsi" w:hAnsiTheme="minorHAnsi"/>
          <w:sz w:val="22"/>
          <w:szCs w:val="22"/>
        </w:rPr>
      </w:pPr>
    </w:p>
    <w:p w14:paraId="21F5B2AE" w14:textId="2C45469B" w:rsidR="00984469" w:rsidRPr="008054B6" w:rsidRDefault="00976250" w:rsidP="008054B6">
      <w:pPr>
        <w:pStyle w:val="yiv5386992270msonormal"/>
        <w:shd w:val="clear" w:color="auto" w:fill="DEEAF6" w:themeFill="accent1" w:themeFillTint="33"/>
        <w:spacing w:before="0" w:beforeAutospacing="0" w:after="0" w:afterAutospacing="0"/>
        <w:ind w:left="-360"/>
        <w:rPr>
          <w:rFonts w:asciiTheme="minorHAnsi" w:hAnsiTheme="minorHAnsi"/>
          <w:i/>
          <w:sz w:val="22"/>
          <w:szCs w:val="22"/>
        </w:rPr>
      </w:pPr>
      <w:r w:rsidRPr="008054B6">
        <w:rPr>
          <w:rFonts w:asciiTheme="minorHAnsi" w:hAnsiTheme="minorHAnsi"/>
          <w:i/>
          <w:sz w:val="22"/>
          <w:szCs w:val="22"/>
        </w:rPr>
        <w:t xml:space="preserve">Assumption #4.  </w:t>
      </w:r>
      <w:r w:rsidR="002B7951" w:rsidRPr="008054B6">
        <w:rPr>
          <w:rFonts w:asciiTheme="minorHAnsi" w:hAnsiTheme="minorHAnsi"/>
          <w:i/>
          <w:sz w:val="22"/>
          <w:szCs w:val="22"/>
        </w:rPr>
        <w:t>The program design was appropriate for the security context in selected urban areas.</w:t>
      </w:r>
    </w:p>
    <w:p w14:paraId="1C2F0E1F" w14:textId="77777777" w:rsidR="008054B6" w:rsidRDefault="008054B6" w:rsidP="008054B6">
      <w:pPr>
        <w:pStyle w:val="yiv5386992270msonormal"/>
        <w:spacing w:before="0" w:beforeAutospacing="0" w:after="0" w:afterAutospacing="0"/>
        <w:ind w:left="-360"/>
        <w:rPr>
          <w:rFonts w:asciiTheme="minorHAnsi" w:hAnsiTheme="minorHAnsi"/>
          <w:b/>
          <w:sz w:val="22"/>
          <w:szCs w:val="22"/>
        </w:rPr>
      </w:pPr>
    </w:p>
    <w:p w14:paraId="7C56943F" w14:textId="00DEB609" w:rsidR="00976250" w:rsidRPr="008054B6" w:rsidRDefault="00976250" w:rsidP="008054B6">
      <w:pPr>
        <w:pStyle w:val="yiv5386992270msonormal"/>
        <w:spacing w:before="0" w:beforeAutospacing="0" w:after="0" w:afterAutospacing="0"/>
        <w:ind w:left="-360"/>
        <w:rPr>
          <w:rFonts w:asciiTheme="minorHAnsi" w:hAnsiTheme="minorHAnsi"/>
          <w:sz w:val="22"/>
          <w:szCs w:val="22"/>
        </w:rPr>
      </w:pPr>
      <w:r w:rsidRPr="008054B6">
        <w:rPr>
          <w:rFonts w:asciiTheme="minorHAnsi" w:hAnsiTheme="minorHAnsi"/>
          <w:b/>
          <w:sz w:val="22"/>
          <w:szCs w:val="22"/>
        </w:rPr>
        <w:t xml:space="preserve">PARTIALLY TRUE.  </w:t>
      </w:r>
      <w:r w:rsidR="00775D8B" w:rsidRPr="008054B6">
        <w:rPr>
          <w:rFonts w:asciiTheme="minorHAnsi" w:hAnsiTheme="minorHAnsi"/>
          <w:b/>
          <w:bCs/>
          <w:sz w:val="22"/>
          <w:szCs w:val="22"/>
        </w:rPr>
        <w:t xml:space="preserve">Armed conflict is endemic and commonplace in Somalia, and Kismayo, Baidoa, and Mogadishu are at high risk of insecurity.  </w:t>
      </w:r>
      <w:r w:rsidR="00AD771D" w:rsidRPr="008054B6">
        <w:rPr>
          <w:rFonts w:asciiTheme="minorHAnsi" w:hAnsiTheme="minorHAnsi"/>
          <w:b/>
          <w:sz w:val="22"/>
          <w:szCs w:val="22"/>
        </w:rPr>
        <w:t>Security was a constant consideration for the implementation of the voucher program in these cities.</w:t>
      </w:r>
      <w:r w:rsidRPr="008054B6">
        <w:rPr>
          <w:rFonts w:asciiTheme="minorHAnsi" w:hAnsiTheme="minorHAnsi"/>
          <w:b/>
          <w:sz w:val="22"/>
          <w:szCs w:val="22"/>
        </w:rPr>
        <w:t xml:space="preserve">  The initial program design caused crowds and elevated security risks; thus, it was modified</w:t>
      </w:r>
      <w:r w:rsidR="00775D8B" w:rsidRPr="008054B6">
        <w:rPr>
          <w:rFonts w:asciiTheme="minorHAnsi" w:hAnsiTheme="minorHAnsi"/>
          <w:b/>
          <w:sz w:val="22"/>
          <w:szCs w:val="22"/>
        </w:rPr>
        <w:t xml:space="preserve"> to reduce crowds and ensure peaceful transactions</w:t>
      </w:r>
      <w:r w:rsidRPr="008054B6">
        <w:rPr>
          <w:rFonts w:asciiTheme="minorHAnsi" w:hAnsiTheme="minorHAnsi"/>
          <w:b/>
          <w:sz w:val="22"/>
          <w:szCs w:val="22"/>
        </w:rPr>
        <w:t xml:space="preserve">. </w:t>
      </w:r>
      <w:r w:rsidRPr="008054B6">
        <w:rPr>
          <w:rFonts w:asciiTheme="minorHAnsi" w:hAnsiTheme="minorHAnsi"/>
          <w:sz w:val="22"/>
          <w:szCs w:val="22"/>
        </w:rPr>
        <w:t xml:space="preserve">Actions CRS took to conduct cash-based </w:t>
      </w:r>
      <w:r w:rsidR="00775D8B" w:rsidRPr="008054B6">
        <w:rPr>
          <w:rFonts w:asciiTheme="minorHAnsi" w:hAnsiTheme="minorHAnsi"/>
          <w:sz w:val="22"/>
          <w:szCs w:val="22"/>
        </w:rPr>
        <w:t>activities</w:t>
      </w:r>
      <w:r w:rsidRPr="008054B6">
        <w:rPr>
          <w:rFonts w:asciiTheme="minorHAnsi" w:hAnsiTheme="minorHAnsi"/>
          <w:sz w:val="22"/>
          <w:szCs w:val="22"/>
        </w:rPr>
        <w:t xml:space="preserve"> in this insecure setting included the following: </w:t>
      </w:r>
    </w:p>
    <w:p w14:paraId="73FD8965" w14:textId="0A1F2025" w:rsidR="00976250" w:rsidRPr="008054B6" w:rsidRDefault="00976250" w:rsidP="008054B6">
      <w:pPr>
        <w:pStyle w:val="yiv5386992270msonormal"/>
        <w:numPr>
          <w:ilvl w:val="0"/>
          <w:numId w:val="42"/>
        </w:numPr>
        <w:spacing w:before="0" w:beforeAutospacing="0" w:after="0" w:afterAutospacing="0"/>
        <w:rPr>
          <w:rFonts w:asciiTheme="minorHAnsi" w:hAnsiTheme="minorHAnsi"/>
          <w:sz w:val="22"/>
          <w:szCs w:val="22"/>
        </w:rPr>
      </w:pPr>
      <w:r w:rsidRPr="008054B6">
        <w:rPr>
          <w:rFonts w:asciiTheme="minorHAnsi" w:hAnsiTheme="minorHAnsi"/>
          <w:sz w:val="22"/>
          <w:szCs w:val="22"/>
        </w:rPr>
        <w:lastRenderedPageBreak/>
        <w:t xml:space="preserve">The voucher modality was modified to include short distribution cycles during quiet and stable periods, thus encouraging beneficiaries to buy food when vendors and CRS/partner offices were accessible.  </w:t>
      </w:r>
    </w:p>
    <w:p w14:paraId="7AFA2B6B" w14:textId="21F4892A" w:rsidR="00775D8B" w:rsidRPr="008054B6" w:rsidRDefault="00775D8B" w:rsidP="008054B6">
      <w:pPr>
        <w:pStyle w:val="yiv5386992270msonormal"/>
        <w:numPr>
          <w:ilvl w:val="0"/>
          <w:numId w:val="42"/>
        </w:numPr>
        <w:spacing w:before="0" w:beforeAutospacing="0" w:after="0" w:afterAutospacing="0"/>
        <w:rPr>
          <w:rFonts w:asciiTheme="minorHAnsi" w:hAnsiTheme="minorHAnsi"/>
          <w:sz w:val="22"/>
          <w:szCs w:val="22"/>
        </w:rPr>
      </w:pPr>
      <w:r w:rsidRPr="008054B6">
        <w:rPr>
          <w:rFonts w:asciiTheme="minorHAnsi" w:hAnsiTheme="minorHAnsi"/>
          <w:sz w:val="22"/>
          <w:szCs w:val="22"/>
        </w:rPr>
        <w:t xml:space="preserve">Cash payments were made to vendors </w:t>
      </w:r>
      <w:r w:rsidR="00E5354C" w:rsidRPr="008054B6">
        <w:rPr>
          <w:rFonts w:asciiTheme="minorHAnsi" w:hAnsiTheme="minorHAnsi"/>
          <w:sz w:val="22"/>
          <w:szCs w:val="22"/>
        </w:rPr>
        <w:t>via check</w:t>
      </w:r>
      <w:r w:rsidRPr="008054B6">
        <w:rPr>
          <w:rFonts w:asciiTheme="minorHAnsi" w:hAnsiTheme="minorHAnsi"/>
          <w:sz w:val="22"/>
          <w:szCs w:val="22"/>
        </w:rPr>
        <w:t>,</w:t>
      </w:r>
      <w:r w:rsidR="00E5354C" w:rsidRPr="008054B6">
        <w:rPr>
          <w:rFonts w:asciiTheme="minorHAnsi" w:hAnsiTheme="minorHAnsi"/>
          <w:sz w:val="22"/>
          <w:szCs w:val="22"/>
        </w:rPr>
        <w:t xml:space="preserve"> and vendors managed payments through bank accounts (</w:t>
      </w:r>
      <w:r w:rsidR="00E5354C" w:rsidRPr="008054B6">
        <w:rPr>
          <w:rFonts w:asciiTheme="minorHAnsi" w:hAnsiTheme="minorHAnsi"/>
          <w:i/>
          <w:sz w:val="22"/>
          <w:szCs w:val="22"/>
        </w:rPr>
        <w:t>dahabshil</w:t>
      </w:r>
      <w:r w:rsidR="00E5354C" w:rsidRPr="008054B6">
        <w:rPr>
          <w:rFonts w:asciiTheme="minorHAnsi" w:hAnsiTheme="minorHAnsi"/>
          <w:sz w:val="22"/>
          <w:szCs w:val="22"/>
        </w:rPr>
        <w:t>) established at the beginning of the program. Transactions</w:t>
      </w:r>
      <w:r w:rsidRPr="008054B6">
        <w:rPr>
          <w:rFonts w:asciiTheme="minorHAnsi" w:hAnsiTheme="minorHAnsi"/>
          <w:sz w:val="22"/>
          <w:szCs w:val="22"/>
        </w:rPr>
        <w:t xml:space="preserve"> were monitored by CRS finance staff.</w:t>
      </w:r>
    </w:p>
    <w:p w14:paraId="65EB3269" w14:textId="77777777" w:rsidR="000D2346" w:rsidRPr="008054B6" w:rsidRDefault="000D2346" w:rsidP="008054B6">
      <w:pPr>
        <w:pStyle w:val="yiv5386992270msonormal"/>
        <w:numPr>
          <w:ilvl w:val="0"/>
          <w:numId w:val="42"/>
        </w:numPr>
        <w:spacing w:before="0" w:beforeAutospacing="0" w:after="0" w:afterAutospacing="0"/>
        <w:rPr>
          <w:rFonts w:asciiTheme="minorHAnsi" w:hAnsiTheme="minorHAnsi"/>
          <w:sz w:val="22"/>
          <w:szCs w:val="22"/>
        </w:rPr>
      </w:pPr>
      <w:r w:rsidRPr="008054B6">
        <w:rPr>
          <w:rFonts w:asciiTheme="minorHAnsi" w:hAnsiTheme="minorHAnsi"/>
          <w:sz w:val="22"/>
          <w:szCs w:val="22"/>
        </w:rPr>
        <w:t>CRS and local implementing partners in each city relied heavily on local stakeholders in government and communities to provide information and guidance regarding the evolution of security incidents and perceived threats. This collaboration enhanced the ability of program staff to plan for community mobilization, monitoring, and technical assistance visits to vendors and beneficiary groups.</w:t>
      </w:r>
    </w:p>
    <w:p w14:paraId="50572154" w14:textId="3D3EE7ED" w:rsidR="00461CD4" w:rsidRPr="008054B6" w:rsidRDefault="000D2346" w:rsidP="008054B6">
      <w:pPr>
        <w:pStyle w:val="yiv5386992270msonormal"/>
        <w:numPr>
          <w:ilvl w:val="0"/>
          <w:numId w:val="42"/>
        </w:numPr>
        <w:spacing w:before="0" w:beforeAutospacing="0" w:after="0" w:afterAutospacing="0"/>
        <w:rPr>
          <w:rFonts w:asciiTheme="minorHAnsi" w:hAnsiTheme="minorHAnsi"/>
          <w:sz w:val="22"/>
          <w:szCs w:val="22"/>
        </w:rPr>
      </w:pPr>
      <w:r w:rsidRPr="008054B6">
        <w:rPr>
          <w:rFonts w:asciiTheme="minorHAnsi" w:hAnsiTheme="minorHAnsi"/>
          <w:sz w:val="22"/>
          <w:szCs w:val="22"/>
        </w:rPr>
        <w:t>As noted above, CRS and local partner staff worked closely with Village Relief Committees to identify beneficiaries according to specific criteria, thus reducing potential conflict over food assistance.</w:t>
      </w:r>
      <w:r w:rsidR="00B628C1" w:rsidRPr="008054B6">
        <w:rPr>
          <w:rFonts w:asciiTheme="minorHAnsi" w:hAnsiTheme="minorHAnsi"/>
          <w:sz w:val="22"/>
          <w:szCs w:val="22"/>
        </w:rPr>
        <w:t xml:space="preserve">  CRS and partner staff made great effort to communicate all aspects of the program to beneficiaries and communities</w:t>
      </w:r>
      <w:r w:rsidR="00E5354C" w:rsidRPr="008054B6">
        <w:rPr>
          <w:rFonts w:asciiTheme="minorHAnsi" w:hAnsiTheme="minorHAnsi"/>
          <w:sz w:val="22"/>
          <w:szCs w:val="22"/>
        </w:rPr>
        <w:t>, but recognized that additional mobilization would be beneficial to the project, especially regarding the complaints mechanism</w:t>
      </w:r>
      <w:r w:rsidR="00B628C1" w:rsidRPr="008054B6">
        <w:rPr>
          <w:rFonts w:asciiTheme="minorHAnsi" w:hAnsiTheme="minorHAnsi"/>
          <w:sz w:val="22"/>
          <w:szCs w:val="22"/>
        </w:rPr>
        <w:t>.</w:t>
      </w:r>
    </w:p>
    <w:p w14:paraId="64DC1B99" w14:textId="77777777" w:rsidR="00461CD4" w:rsidRPr="008054B6" w:rsidRDefault="00461CD4" w:rsidP="008054B6">
      <w:pPr>
        <w:pStyle w:val="yiv5386992270msonormal"/>
        <w:spacing w:before="0" w:beforeAutospacing="0" w:after="0" w:afterAutospacing="0"/>
        <w:ind w:left="-360"/>
        <w:rPr>
          <w:rFonts w:asciiTheme="minorHAnsi" w:hAnsiTheme="minorHAnsi"/>
          <w:i/>
          <w:sz w:val="22"/>
          <w:szCs w:val="22"/>
        </w:rPr>
      </w:pPr>
    </w:p>
    <w:p w14:paraId="686B99EB" w14:textId="476766B5" w:rsidR="00461CD4" w:rsidRPr="008054B6" w:rsidRDefault="00461CD4" w:rsidP="008054B6">
      <w:pPr>
        <w:pStyle w:val="yiv5386992270msonormal"/>
        <w:shd w:val="clear" w:color="auto" w:fill="DEEAF6" w:themeFill="accent1" w:themeFillTint="33"/>
        <w:spacing w:before="0" w:beforeAutospacing="0" w:after="0" w:afterAutospacing="0"/>
        <w:ind w:left="-360"/>
        <w:rPr>
          <w:rFonts w:asciiTheme="minorHAnsi" w:hAnsiTheme="minorHAnsi"/>
          <w:i/>
          <w:sz w:val="22"/>
          <w:szCs w:val="22"/>
        </w:rPr>
      </w:pPr>
      <w:r w:rsidRPr="008054B6">
        <w:rPr>
          <w:rFonts w:asciiTheme="minorHAnsi" w:hAnsiTheme="minorHAnsi"/>
          <w:i/>
          <w:sz w:val="22"/>
          <w:szCs w:val="22"/>
        </w:rPr>
        <w:t xml:space="preserve">Assumption #5.  </w:t>
      </w:r>
      <w:r w:rsidRPr="008054B6">
        <w:rPr>
          <w:rFonts w:asciiTheme="minorHAnsi" w:hAnsiTheme="minorHAnsi"/>
          <w:sz w:val="22"/>
          <w:szCs w:val="22"/>
        </w:rPr>
        <w:t>The voucher-based food assistance initiative would result in significant improvements in household food security outcomes.</w:t>
      </w:r>
    </w:p>
    <w:p w14:paraId="031B25AB" w14:textId="7B2B02A5" w:rsidR="00461CD4" w:rsidRPr="008054B6" w:rsidRDefault="008054B6" w:rsidP="008054B6">
      <w:pPr>
        <w:spacing w:after="0" w:line="240" w:lineRule="auto"/>
        <w:ind w:left="-360"/>
        <w:rPr>
          <w:rFonts w:cs="Times New Roman"/>
        </w:rPr>
      </w:pPr>
      <w:r>
        <w:rPr>
          <w:rFonts w:cs="Times New Roman"/>
          <w:b/>
        </w:rPr>
        <w:br/>
      </w:r>
      <w:r w:rsidR="00461CD4" w:rsidRPr="008054B6">
        <w:rPr>
          <w:rFonts w:cs="Times New Roman"/>
          <w:b/>
        </w:rPr>
        <w:t xml:space="preserve">TRUE. Significant gains in household food security outcomes were noted in all program sites, and consistently point to the successful use of food vouchers in improving household food access and consumption of staple foods.  </w:t>
      </w:r>
      <w:r w:rsidR="00461CD4" w:rsidRPr="008054B6">
        <w:rPr>
          <w:rFonts w:cs="Times New Roman"/>
        </w:rPr>
        <w:t>Based on the results of the program evaluations and data collected for final reporting, food security gains are clear in nearly all major outcome areas, with key outcomes highlighted below:</w:t>
      </w:r>
    </w:p>
    <w:p w14:paraId="4380B204" w14:textId="77777777" w:rsidR="00461CD4" w:rsidRPr="008054B6" w:rsidRDefault="00461CD4" w:rsidP="008054B6">
      <w:pPr>
        <w:spacing w:after="0" w:line="240" w:lineRule="auto"/>
        <w:ind w:left="-360"/>
        <w:rPr>
          <w:rFonts w:cs="Times New Roman"/>
        </w:rPr>
      </w:pPr>
    </w:p>
    <w:p w14:paraId="3B3A1354" w14:textId="0D61B890" w:rsidR="00461CD4" w:rsidRPr="008054B6" w:rsidRDefault="00461CD4" w:rsidP="008054B6">
      <w:pPr>
        <w:spacing w:after="0" w:line="240" w:lineRule="auto"/>
        <w:rPr>
          <w:rFonts w:cs="Times New Roman"/>
        </w:rPr>
      </w:pPr>
      <w:r w:rsidRPr="008054B6">
        <w:rPr>
          <w:rFonts w:cs="Times New Roman"/>
          <w:u w:val="single"/>
        </w:rPr>
        <w:t>Household Dietary Diversity (HDD)</w:t>
      </w:r>
      <w:r w:rsidRPr="008054B6">
        <w:rPr>
          <w:rFonts w:cs="Times New Roman"/>
        </w:rPr>
        <w:t xml:space="preserve">:  Dietary diversity increased notably across all beneficiary groups in all program iterations.  In Mogadishu, HDD improved from an average of 4.1 to 5.4 and from 4.7 to 5.3 in Baidoa.  In Kismayo, </w:t>
      </w:r>
      <w:r w:rsidRPr="008054B6">
        <w:t xml:space="preserve">83 percent of beneficiaries reported consumption of 6-11 food groups, compared to households who did not receive a food assistance voucher, 76 percent of whom had consumed fewer than 6 food groups. Nearly all final survey participants consumed cereals, which are carbohydrate rich, with </w:t>
      </w:r>
      <w:r w:rsidR="00E5354C" w:rsidRPr="008054B6">
        <w:t>some consumption of</w:t>
      </w:r>
      <w:r w:rsidRPr="008054B6">
        <w:t xml:space="preserve"> tubers/roots. Other food items consumed by majority include: sugar, oils/fat</w:t>
      </w:r>
      <w:r w:rsidR="00E5354C" w:rsidRPr="008054B6">
        <w:t>s and miscellaneous (tea leaves</w:t>
      </w:r>
      <w:r w:rsidRPr="008054B6">
        <w:t>). Sources of protein consumed include: meat, pulses, milk/milk products, sea foods, and eggs, although proteins and nutrient rich vegetables and fruits had a comparatively lower consumption rate.</w:t>
      </w:r>
    </w:p>
    <w:p w14:paraId="3E04601F" w14:textId="77777777" w:rsidR="00461CD4" w:rsidRPr="008054B6" w:rsidRDefault="00461CD4" w:rsidP="008054B6">
      <w:pPr>
        <w:spacing w:after="0" w:line="240" w:lineRule="auto"/>
        <w:rPr>
          <w:rFonts w:cs="Times New Roman"/>
        </w:rPr>
      </w:pPr>
    </w:p>
    <w:p w14:paraId="48E86099" w14:textId="77777777" w:rsidR="00461CD4" w:rsidRPr="008054B6" w:rsidRDefault="00461CD4" w:rsidP="008054B6">
      <w:pPr>
        <w:spacing w:after="0" w:line="240" w:lineRule="auto"/>
        <w:rPr>
          <w:rFonts w:cs="Times New Roman"/>
        </w:rPr>
      </w:pPr>
      <w:r w:rsidRPr="008054B6">
        <w:rPr>
          <w:rFonts w:cs="Times New Roman"/>
          <w:u w:val="single"/>
        </w:rPr>
        <w:t>Household Hunger Scale (HHS)</w:t>
      </w:r>
      <w:r w:rsidRPr="008054B6">
        <w:rPr>
          <w:rFonts w:cs="Times New Roman"/>
        </w:rPr>
        <w:t xml:space="preserve">: In Mogadishu IDP camps, the proportion of households with moderate or severe hunger dropped from 83 percent (at baseline) to 24 percent. In Baidoa, the percentage of participating households with moderate or severe hunger dropped from about 82 percent to only about 1.2 percent. Approximately 90 percent of surveyed beneficiaries in Kismayo reported little or no hunger, compared to non-beneficiaries, among whom only 5 percent reported no hunger and nearly 50 percent reported severe hunger. </w:t>
      </w:r>
    </w:p>
    <w:p w14:paraId="15CEB789" w14:textId="77777777" w:rsidR="00461CD4" w:rsidRPr="008054B6" w:rsidRDefault="00461CD4" w:rsidP="008054B6">
      <w:pPr>
        <w:spacing w:after="0" w:line="240" w:lineRule="auto"/>
        <w:rPr>
          <w:rFonts w:cs="Times New Roman"/>
        </w:rPr>
      </w:pPr>
    </w:p>
    <w:p w14:paraId="3663B01A" w14:textId="77777777" w:rsidR="00461CD4" w:rsidRPr="008054B6" w:rsidRDefault="00461CD4" w:rsidP="008054B6">
      <w:pPr>
        <w:spacing w:after="0" w:line="240" w:lineRule="auto"/>
      </w:pPr>
      <w:r w:rsidRPr="008054B6">
        <w:rPr>
          <w:rFonts w:cs="Times New Roman"/>
          <w:u w:val="single"/>
        </w:rPr>
        <w:t>Daily Meals Consumed</w:t>
      </w:r>
      <w:r w:rsidRPr="008054B6">
        <w:rPr>
          <w:rFonts w:cs="Times New Roman"/>
        </w:rPr>
        <w:t>:  In Baidoa and Mogadishu, the number of meals consumed per day improved dramatically, with 65 percent of children consuming 3 meals per day during the voucher program, compared to 10 percent pre-voucher.  In Mogadishu, at the end of the project, only .04 percent of children were consuming one meal per day, compared to approximately 10 percent at the beginning of the voucher program.</w:t>
      </w:r>
      <w:r w:rsidRPr="008054B6">
        <w:t xml:space="preserve"> In Kismayo, 97 percent of children from beneficiary households consumed three </w:t>
      </w:r>
      <w:r w:rsidRPr="008054B6">
        <w:lastRenderedPageBreak/>
        <w:t xml:space="preserve">or more meals, compared to 69 percent of children from non-beneficiary households, while 60 percent of female beneficiaries consumed three or more meals, compared to 22 percent from non-beneficiary households. </w:t>
      </w:r>
    </w:p>
    <w:p w14:paraId="2967AB2A" w14:textId="77777777" w:rsidR="00461CD4" w:rsidRPr="008054B6" w:rsidRDefault="00461CD4" w:rsidP="008054B6">
      <w:pPr>
        <w:spacing w:after="0" w:line="240" w:lineRule="auto"/>
      </w:pPr>
    </w:p>
    <w:p w14:paraId="091E3C4F" w14:textId="5782C43E" w:rsidR="00461CD4" w:rsidRPr="008054B6" w:rsidRDefault="00461CD4" w:rsidP="008054B6">
      <w:pPr>
        <w:spacing w:after="0" w:line="240" w:lineRule="auto"/>
        <w:rPr>
          <w:rFonts w:cs="Times New Roman"/>
        </w:rPr>
      </w:pPr>
      <w:r w:rsidRPr="008054B6">
        <w:rPr>
          <w:rFonts w:cs="Times New Roman"/>
          <w:u w:val="single"/>
        </w:rPr>
        <w:t>Reduction in Negative Coping Strategies</w:t>
      </w:r>
      <w:r w:rsidRPr="008054B6">
        <w:rPr>
          <w:rFonts w:cs="Times New Roman"/>
        </w:rPr>
        <w:t>:  Households facing severe and/or acute food insecurity adopt negative coping strategies in an effort to conserve resources used to acquire food. For urban households in Somalia, some examples of negative coping strategies include: limiting the portion size of meals, reducing number of daily meals, sending household members to eat elsewhere, and acquiring debt.  In Kismayo, 69 percent of households reported that they did not adopt any negative coping strategies during the voucher program, compared to only 7 percent of non-beneficiaries.</w:t>
      </w:r>
      <w:r w:rsidR="008054B6">
        <w:rPr>
          <w:rFonts w:cs="Times New Roman"/>
        </w:rPr>
        <w:br/>
      </w:r>
    </w:p>
    <w:p w14:paraId="6B845379" w14:textId="77777777" w:rsidR="001774D2" w:rsidRPr="008054B6" w:rsidRDefault="001774D2" w:rsidP="008054B6">
      <w:pPr>
        <w:spacing w:after="0" w:line="240" w:lineRule="auto"/>
        <w:ind w:left="-360"/>
        <w:rPr>
          <w:rFonts w:cs="Times New Roman"/>
        </w:rPr>
      </w:pPr>
    </w:p>
    <w:p w14:paraId="5863399A" w14:textId="4650FD0B" w:rsidR="008054B6" w:rsidRPr="008054B6" w:rsidRDefault="008054B6" w:rsidP="008054B6">
      <w:pPr>
        <w:pStyle w:val="yiv5386992270msonormal"/>
        <w:spacing w:before="0" w:beforeAutospacing="0" w:after="0" w:afterAutospacing="0"/>
        <w:ind w:left="-360"/>
        <w:rPr>
          <w:rFonts w:asciiTheme="minorHAnsi" w:hAnsiTheme="minorHAnsi"/>
          <w:b/>
          <w:color w:val="0070C0"/>
          <w:sz w:val="36"/>
          <w:szCs w:val="22"/>
        </w:rPr>
      </w:pPr>
      <w:r w:rsidRPr="008054B6">
        <w:rPr>
          <w:rFonts w:asciiTheme="minorHAnsi" w:hAnsiTheme="minorHAnsi"/>
          <w:b/>
          <w:color w:val="0070C0"/>
          <w:sz w:val="36"/>
          <w:szCs w:val="22"/>
        </w:rPr>
        <w:t>UNANTICIPATED PROGRAM IMPACTS</w:t>
      </w:r>
    </w:p>
    <w:p w14:paraId="790B4940" w14:textId="2C085A73" w:rsidR="00DD018E" w:rsidRPr="008054B6" w:rsidRDefault="008054B6" w:rsidP="008054B6">
      <w:pPr>
        <w:pStyle w:val="yiv5386992270msonormal"/>
        <w:spacing w:before="0" w:beforeAutospacing="0" w:after="0" w:afterAutospacing="0"/>
        <w:ind w:left="-360"/>
        <w:rPr>
          <w:rFonts w:asciiTheme="minorHAnsi" w:hAnsiTheme="minorHAnsi"/>
          <w:sz w:val="22"/>
          <w:szCs w:val="22"/>
        </w:rPr>
      </w:pPr>
      <w:r>
        <w:rPr>
          <w:rFonts w:asciiTheme="minorHAnsi" w:hAnsiTheme="minorHAnsi"/>
          <w:sz w:val="22"/>
          <w:szCs w:val="22"/>
        </w:rPr>
        <w:br/>
      </w:r>
      <w:r w:rsidR="004208BB" w:rsidRPr="008054B6">
        <w:rPr>
          <w:rFonts w:asciiTheme="minorHAnsi" w:hAnsiTheme="minorHAnsi"/>
          <w:sz w:val="22"/>
          <w:szCs w:val="22"/>
        </w:rPr>
        <w:t>P</w:t>
      </w:r>
      <w:r w:rsidR="00DD018E" w:rsidRPr="008054B6">
        <w:rPr>
          <w:rFonts w:asciiTheme="minorHAnsi" w:hAnsiTheme="minorHAnsi"/>
          <w:sz w:val="22"/>
          <w:szCs w:val="22"/>
        </w:rPr>
        <w:t xml:space="preserve">rimarily a food security program targeting a very specific vulnerable group at risk of severe food insecurity, </w:t>
      </w:r>
      <w:r w:rsidR="00C96E14" w:rsidRPr="008054B6">
        <w:rPr>
          <w:rFonts w:asciiTheme="minorHAnsi" w:hAnsiTheme="minorHAnsi"/>
          <w:sz w:val="22"/>
          <w:szCs w:val="22"/>
        </w:rPr>
        <w:t>the voucher programs were successful in improving food security outcomes as expected, but also yielded indirect positive results on participating households and the broader com</w:t>
      </w:r>
      <w:r w:rsidR="00D67475" w:rsidRPr="008054B6">
        <w:rPr>
          <w:rFonts w:asciiTheme="minorHAnsi" w:hAnsiTheme="minorHAnsi"/>
          <w:sz w:val="22"/>
          <w:szCs w:val="22"/>
        </w:rPr>
        <w:t>munity, including market actors. Other un</w:t>
      </w:r>
      <w:r w:rsidR="00C96E14" w:rsidRPr="008054B6">
        <w:rPr>
          <w:rFonts w:asciiTheme="minorHAnsi" w:hAnsiTheme="minorHAnsi"/>
          <w:sz w:val="22"/>
          <w:szCs w:val="22"/>
        </w:rPr>
        <w:t xml:space="preserve">anticipated impacts at the household level </w:t>
      </w:r>
      <w:r w:rsidR="00D67475" w:rsidRPr="008054B6">
        <w:rPr>
          <w:rFonts w:asciiTheme="minorHAnsi" w:hAnsiTheme="minorHAnsi"/>
          <w:sz w:val="22"/>
          <w:szCs w:val="22"/>
        </w:rPr>
        <w:t>also</w:t>
      </w:r>
      <w:r w:rsidR="00C96E14" w:rsidRPr="008054B6">
        <w:rPr>
          <w:rFonts w:asciiTheme="minorHAnsi" w:hAnsiTheme="minorHAnsi"/>
          <w:sz w:val="22"/>
          <w:szCs w:val="22"/>
        </w:rPr>
        <w:t xml:space="preserve"> emerged as a result of increased food access. </w:t>
      </w:r>
      <w:r w:rsidR="00C03588" w:rsidRPr="008054B6">
        <w:rPr>
          <w:rFonts w:asciiTheme="minorHAnsi" w:hAnsiTheme="minorHAnsi"/>
          <w:sz w:val="22"/>
          <w:szCs w:val="22"/>
        </w:rPr>
        <w:t>Aside from the expected community reaction to limited program resources, which resulted in some aggression towards CRS and partner staff, as well as consistent feedback that more resources were required</w:t>
      </w:r>
      <w:r w:rsidR="00DD4CC4" w:rsidRPr="008054B6">
        <w:rPr>
          <w:rFonts w:asciiTheme="minorHAnsi" w:hAnsiTheme="minorHAnsi"/>
          <w:sz w:val="22"/>
          <w:szCs w:val="22"/>
        </w:rPr>
        <w:t xml:space="preserve"> to meet the full scope and scale of community needs</w:t>
      </w:r>
      <w:r w:rsidR="00C03588" w:rsidRPr="008054B6">
        <w:rPr>
          <w:rFonts w:asciiTheme="minorHAnsi" w:hAnsiTheme="minorHAnsi"/>
          <w:sz w:val="22"/>
          <w:szCs w:val="22"/>
        </w:rPr>
        <w:t xml:space="preserve">, no negative impacts were observed or reported. </w:t>
      </w:r>
      <w:r w:rsidR="00C96E14" w:rsidRPr="008054B6">
        <w:rPr>
          <w:rFonts w:asciiTheme="minorHAnsi" w:hAnsiTheme="minorHAnsi"/>
          <w:sz w:val="22"/>
          <w:szCs w:val="22"/>
        </w:rPr>
        <w:t xml:space="preserve"> </w:t>
      </w:r>
      <w:r w:rsidR="00476E4F" w:rsidRPr="008054B6">
        <w:rPr>
          <w:rFonts w:asciiTheme="minorHAnsi" w:hAnsiTheme="minorHAnsi"/>
          <w:sz w:val="22"/>
          <w:szCs w:val="22"/>
        </w:rPr>
        <w:t>Bas</w:t>
      </w:r>
      <w:r w:rsidR="00D67475" w:rsidRPr="008054B6">
        <w:rPr>
          <w:rFonts w:asciiTheme="minorHAnsi" w:hAnsiTheme="minorHAnsi"/>
          <w:sz w:val="22"/>
          <w:szCs w:val="22"/>
        </w:rPr>
        <w:t>ed on a series of key informant</w:t>
      </w:r>
      <w:r w:rsidR="00476E4F" w:rsidRPr="008054B6">
        <w:rPr>
          <w:rFonts w:asciiTheme="minorHAnsi" w:hAnsiTheme="minorHAnsi"/>
          <w:sz w:val="22"/>
          <w:szCs w:val="22"/>
        </w:rPr>
        <w:t xml:space="preserve"> interviews and focus groups conducted as part of final program evaluations, and several follow-up focus groups in Mogadish</w:t>
      </w:r>
      <w:r w:rsidR="00D67475" w:rsidRPr="008054B6">
        <w:rPr>
          <w:rFonts w:asciiTheme="minorHAnsi" w:hAnsiTheme="minorHAnsi"/>
          <w:sz w:val="22"/>
          <w:szCs w:val="22"/>
        </w:rPr>
        <w:t>u in May 2015, the following un</w:t>
      </w:r>
      <w:r w:rsidR="00476E4F" w:rsidRPr="008054B6">
        <w:rPr>
          <w:rFonts w:asciiTheme="minorHAnsi" w:hAnsiTheme="minorHAnsi"/>
          <w:sz w:val="22"/>
          <w:szCs w:val="22"/>
        </w:rPr>
        <w:t xml:space="preserve">anticipated impacts were observed, and should be considered as important program outputs for future voucher </w:t>
      </w:r>
      <w:r w:rsidR="00CA6CC9" w:rsidRPr="008054B6">
        <w:rPr>
          <w:rFonts w:asciiTheme="minorHAnsi" w:hAnsiTheme="minorHAnsi"/>
          <w:sz w:val="22"/>
          <w:szCs w:val="22"/>
        </w:rPr>
        <w:t xml:space="preserve">and cash-based </w:t>
      </w:r>
      <w:r w:rsidR="00476E4F" w:rsidRPr="008054B6">
        <w:rPr>
          <w:rFonts w:asciiTheme="minorHAnsi" w:hAnsiTheme="minorHAnsi"/>
          <w:sz w:val="22"/>
          <w:szCs w:val="22"/>
        </w:rPr>
        <w:t xml:space="preserve">initiatives that address urban food security. </w:t>
      </w:r>
    </w:p>
    <w:p w14:paraId="6AE6290B" w14:textId="77777777" w:rsidR="00AA1842" w:rsidRPr="008054B6" w:rsidRDefault="00AA1842" w:rsidP="008054B6">
      <w:pPr>
        <w:pStyle w:val="yiv5386992270msonormal"/>
        <w:spacing w:before="0" w:beforeAutospacing="0" w:after="0" w:afterAutospacing="0"/>
        <w:rPr>
          <w:rFonts w:asciiTheme="minorHAnsi" w:hAnsiTheme="minorHAnsi"/>
          <w:sz w:val="22"/>
          <w:szCs w:val="22"/>
        </w:rPr>
      </w:pPr>
    </w:p>
    <w:p w14:paraId="1C33289D" w14:textId="63F81B53" w:rsidR="00C96E14" w:rsidRPr="008054B6" w:rsidRDefault="00C96E14" w:rsidP="008054B6">
      <w:pPr>
        <w:pStyle w:val="yiv5386992270msonormal"/>
        <w:spacing w:before="0" w:beforeAutospacing="0" w:after="0" w:afterAutospacing="0"/>
        <w:ind w:left="-360"/>
        <w:rPr>
          <w:rFonts w:asciiTheme="minorHAnsi" w:hAnsiTheme="minorHAnsi"/>
          <w:i/>
          <w:sz w:val="22"/>
          <w:szCs w:val="22"/>
        </w:rPr>
      </w:pPr>
      <w:r w:rsidRPr="008054B6">
        <w:rPr>
          <w:rFonts w:asciiTheme="minorHAnsi" w:hAnsiTheme="minorHAnsi"/>
          <w:i/>
          <w:sz w:val="22"/>
          <w:szCs w:val="22"/>
        </w:rPr>
        <w:t>Market Systems and Actors</w:t>
      </w:r>
      <w:r w:rsidR="003332CC" w:rsidRPr="008054B6">
        <w:rPr>
          <w:rFonts w:asciiTheme="minorHAnsi" w:hAnsiTheme="minorHAnsi"/>
          <w:i/>
          <w:sz w:val="22"/>
          <w:szCs w:val="22"/>
        </w:rPr>
        <w:t xml:space="preserve"> </w:t>
      </w:r>
    </w:p>
    <w:p w14:paraId="71A9C6C7" w14:textId="108F8010" w:rsidR="00C96E14" w:rsidRPr="008054B6" w:rsidRDefault="004A4674" w:rsidP="008054B6">
      <w:pPr>
        <w:pStyle w:val="yiv5386992270msonormal"/>
        <w:spacing w:before="0" w:beforeAutospacing="0" w:after="0" w:afterAutospacing="0"/>
        <w:ind w:left="-360"/>
        <w:rPr>
          <w:rFonts w:asciiTheme="minorHAnsi" w:hAnsiTheme="minorHAnsi"/>
          <w:sz w:val="22"/>
          <w:szCs w:val="22"/>
        </w:rPr>
      </w:pPr>
      <w:r w:rsidRPr="008054B6">
        <w:rPr>
          <w:rFonts w:asciiTheme="minorHAnsi" w:hAnsiTheme="minorHAnsi"/>
          <w:sz w:val="22"/>
          <w:szCs w:val="22"/>
          <w:u w:val="single"/>
        </w:rPr>
        <w:t>Market Vendors</w:t>
      </w:r>
      <w:r w:rsidRPr="008054B6">
        <w:rPr>
          <w:rFonts w:asciiTheme="minorHAnsi" w:hAnsiTheme="minorHAnsi"/>
          <w:b/>
          <w:sz w:val="22"/>
          <w:szCs w:val="22"/>
        </w:rPr>
        <w:t xml:space="preserve">:   </w:t>
      </w:r>
      <w:r w:rsidRPr="008054B6">
        <w:rPr>
          <w:rFonts w:asciiTheme="minorHAnsi" w:hAnsiTheme="minorHAnsi"/>
          <w:sz w:val="22"/>
          <w:szCs w:val="22"/>
        </w:rPr>
        <w:t xml:space="preserve">Market vendors selected for participation in the voucher programs received direct technical support </w:t>
      </w:r>
      <w:r w:rsidR="00C03588" w:rsidRPr="008054B6">
        <w:rPr>
          <w:rFonts w:asciiTheme="minorHAnsi" w:hAnsiTheme="minorHAnsi"/>
          <w:sz w:val="22"/>
          <w:szCs w:val="22"/>
        </w:rPr>
        <w:t>intended to</w:t>
      </w:r>
      <w:r w:rsidRPr="008054B6">
        <w:rPr>
          <w:rFonts w:asciiTheme="minorHAnsi" w:hAnsiTheme="minorHAnsi"/>
          <w:sz w:val="22"/>
          <w:szCs w:val="22"/>
        </w:rPr>
        <w:t xml:space="preserve"> </w:t>
      </w:r>
      <w:r w:rsidR="00C03588" w:rsidRPr="008054B6">
        <w:rPr>
          <w:rFonts w:asciiTheme="minorHAnsi" w:hAnsiTheme="minorHAnsi"/>
          <w:sz w:val="22"/>
          <w:szCs w:val="22"/>
        </w:rPr>
        <w:t>improve</w:t>
      </w:r>
      <w:r w:rsidRPr="008054B6">
        <w:rPr>
          <w:rFonts w:asciiTheme="minorHAnsi" w:hAnsiTheme="minorHAnsi"/>
          <w:sz w:val="22"/>
          <w:szCs w:val="22"/>
        </w:rPr>
        <w:t xml:space="preserve"> literacy, numeracy, </w:t>
      </w:r>
      <w:r w:rsidR="00C03588" w:rsidRPr="008054B6">
        <w:rPr>
          <w:rFonts w:asciiTheme="minorHAnsi" w:hAnsiTheme="minorHAnsi"/>
          <w:sz w:val="22"/>
          <w:szCs w:val="22"/>
        </w:rPr>
        <w:t>business</w:t>
      </w:r>
      <w:r w:rsidRPr="008054B6">
        <w:rPr>
          <w:rFonts w:asciiTheme="minorHAnsi" w:hAnsiTheme="minorHAnsi"/>
          <w:sz w:val="22"/>
          <w:szCs w:val="22"/>
        </w:rPr>
        <w:t xml:space="preserve"> management and planning</w:t>
      </w:r>
      <w:r w:rsidR="00A30A09" w:rsidRPr="008054B6">
        <w:rPr>
          <w:rFonts w:asciiTheme="minorHAnsi" w:hAnsiTheme="minorHAnsi"/>
          <w:sz w:val="22"/>
          <w:szCs w:val="22"/>
        </w:rPr>
        <w:t xml:space="preserve"> skills</w:t>
      </w:r>
      <w:r w:rsidRPr="008054B6">
        <w:rPr>
          <w:rFonts w:asciiTheme="minorHAnsi" w:hAnsiTheme="minorHAnsi"/>
          <w:sz w:val="22"/>
          <w:szCs w:val="22"/>
        </w:rPr>
        <w:t xml:space="preserve">, and greater ability to work with humanitarian partner agencies.  </w:t>
      </w:r>
      <w:r w:rsidR="00C03588" w:rsidRPr="008054B6">
        <w:rPr>
          <w:rFonts w:asciiTheme="minorHAnsi" w:hAnsiTheme="minorHAnsi"/>
          <w:sz w:val="22"/>
          <w:szCs w:val="22"/>
        </w:rPr>
        <w:t xml:space="preserve">These gains in capacity were illustrated by </w:t>
      </w:r>
      <w:r w:rsidR="00CA6CC9" w:rsidRPr="008054B6">
        <w:rPr>
          <w:rFonts w:asciiTheme="minorHAnsi" w:hAnsiTheme="minorHAnsi"/>
          <w:sz w:val="22"/>
          <w:szCs w:val="22"/>
        </w:rPr>
        <w:t xml:space="preserve">improvements in competency and administrative </w:t>
      </w:r>
      <w:r w:rsidR="00C03588" w:rsidRPr="008054B6">
        <w:rPr>
          <w:rFonts w:asciiTheme="minorHAnsi" w:hAnsiTheme="minorHAnsi"/>
          <w:sz w:val="22"/>
          <w:szCs w:val="22"/>
        </w:rPr>
        <w:t>engagement with program staff, and consistent ability to meet requirements for</w:t>
      </w:r>
      <w:r w:rsidR="00A30A09" w:rsidRPr="008054B6">
        <w:rPr>
          <w:rFonts w:asciiTheme="minorHAnsi" w:hAnsiTheme="minorHAnsi"/>
          <w:sz w:val="22"/>
          <w:szCs w:val="22"/>
        </w:rPr>
        <w:t xml:space="preserve"> financial </w:t>
      </w:r>
      <w:r w:rsidR="00C03588" w:rsidRPr="008054B6">
        <w:rPr>
          <w:rFonts w:asciiTheme="minorHAnsi" w:hAnsiTheme="minorHAnsi"/>
          <w:sz w:val="22"/>
          <w:szCs w:val="22"/>
        </w:rPr>
        <w:t xml:space="preserve">documentation.  </w:t>
      </w:r>
      <w:r w:rsidR="00CA6CC9" w:rsidRPr="008054B6">
        <w:rPr>
          <w:rFonts w:asciiTheme="minorHAnsi" w:hAnsiTheme="minorHAnsi"/>
          <w:sz w:val="22"/>
          <w:szCs w:val="22"/>
        </w:rPr>
        <w:t>Vendors participating in Mogadishu focus groups</w:t>
      </w:r>
      <w:r w:rsidR="00C03588" w:rsidRPr="008054B6">
        <w:rPr>
          <w:rFonts w:asciiTheme="minorHAnsi" w:hAnsiTheme="minorHAnsi"/>
          <w:sz w:val="22"/>
          <w:szCs w:val="22"/>
        </w:rPr>
        <w:t xml:space="preserve"> also self-reported </w:t>
      </w:r>
      <w:r w:rsidR="00A30A09" w:rsidRPr="008054B6">
        <w:rPr>
          <w:rFonts w:asciiTheme="minorHAnsi" w:hAnsiTheme="minorHAnsi"/>
          <w:sz w:val="22"/>
          <w:szCs w:val="22"/>
        </w:rPr>
        <w:t xml:space="preserve">the </w:t>
      </w:r>
      <w:r w:rsidR="00C03588" w:rsidRPr="008054B6">
        <w:rPr>
          <w:rFonts w:asciiTheme="minorHAnsi" w:hAnsiTheme="minorHAnsi"/>
          <w:sz w:val="22"/>
          <w:szCs w:val="22"/>
        </w:rPr>
        <w:t xml:space="preserve">improved ability to manage business operations with the skills they have developed. </w:t>
      </w:r>
      <w:r w:rsidRPr="008054B6">
        <w:rPr>
          <w:rFonts w:asciiTheme="minorHAnsi" w:hAnsiTheme="minorHAnsi"/>
          <w:sz w:val="22"/>
          <w:szCs w:val="22"/>
        </w:rPr>
        <w:t xml:space="preserve">Additionally, vendors </w:t>
      </w:r>
      <w:r w:rsidR="003332CC" w:rsidRPr="008054B6">
        <w:rPr>
          <w:rFonts w:asciiTheme="minorHAnsi" w:hAnsiTheme="minorHAnsi"/>
          <w:sz w:val="22"/>
          <w:szCs w:val="22"/>
        </w:rPr>
        <w:t>reported a perceived</w:t>
      </w:r>
      <w:r w:rsidRPr="008054B6">
        <w:rPr>
          <w:rFonts w:asciiTheme="minorHAnsi" w:hAnsiTheme="minorHAnsi"/>
          <w:sz w:val="22"/>
          <w:szCs w:val="22"/>
        </w:rPr>
        <w:t xml:space="preserve"> increase in business</w:t>
      </w:r>
      <w:r w:rsidR="004208BB" w:rsidRPr="008054B6">
        <w:rPr>
          <w:rFonts w:asciiTheme="minorHAnsi" w:hAnsiTheme="minorHAnsi"/>
          <w:sz w:val="22"/>
          <w:szCs w:val="22"/>
        </w:rPr>
        <w:t xml:space="preserve"> activity</w:t>
      </w:r>
      <w:r w:rsidRPr="008054B6">
        <w:rPr>
          <w:rFonts w:asciiTheme="minorHAnsi" w:hAnsiTheme="minorHAnsi"/>
          <w:sz w:val="22"/>
          <w:szCs w:val="22"/>
        </w:rPr>
        <w:t xml:space="preserve"> and revenues due to increased customer volumes in their shops during the program.  Aside from these fairly clear and projected positive impacts, consultation with participating vendors revealed several other key impacts:</w:t>
      </w:r>
    </w:p>
    <w:p w14:paraId="7D71077C" w14:textId="38E090E1" w:rsidR="008054B6" w:rsidRPr="008054B6" w:rsidRDefault="008054B6" w:rsidP="008054B6">
      <w:pPr>
        <w:pStyle w:val="yiv5386992270msonormal"/>
        <w:spacing w:before="0" w:beforeAutospacing="0" w:after="0" w:afterAutospacing="0"/>
        <w:ind w:left="-360"/>
        <w:rPr>
          <w:rFonts w:asciiTheme="minorHAnsi" w:hAnsiTheme="minorHAnsi"/>
          <w:sz w:val="22"/>
          <w:szCs w:val="22"/>
        </w:rPr>
      </w:pPr>
    </w:p>
    <w:p w14:paraId="60BDA72F" w14:textId="5D8E1DC2" w:rsidR="008F7348" w:rsidRPr="008054B6" w:rsidRDefault="008F7348" w:rsidP="008054B6">
      <w:pPr>
        <w:pStyle w:val="yiv5386992270msonormal"/>
        <w:numPr>
          <w:ilvl w:val="0"/>
          <w:numId w:val="46"/>
        </w:numPr>
        <w:spacing w:before="0" w:beforeAutospacing="0" w:after="0" w:afterAutospacing="0"/>
        <w:rPr>
          <w:rFonts w:asciiTheme="minorHAnsi" w:hAnsiTheme="minorHAnsi"/>
          <w:sz w:val="22"/>
          <w:szCs w:val="22"/>
        </w:rPr>
      </w:pPr>
      <w:r w:rsidRPr="008054B6">
        <w:rPr>
          <w:rFonts w:asciiTheme="minorHAnsi" w:hAnsiTheme="minorHAnsi"/>
          <w:b/>
          <w:i/>
          <w:sz w:val="22"/>
          <w:szCs w:val="22"/>
        </w:rPr>
        <w:t>Increase in household revenues</w:t>
      </w:r>
      <w:r w:rsidR="001C2986" w:rsidRPr="008054B6">
        <w:rPr>
          <w:rFonts w:asciiTheme="minorHAnsi" w:hAnsiTheme="minorHAnsi"/>
          <w:sz w:val="22"/>
          <w:szCs w:val="22"/>
        </w:rPr>
        <w:t xml:space="preserve">, </w:t>
      </w:r>
      <w:r w:rsidR="00C03588" w:rsidRPr="008054B6">
        <w:rPr>
          <w:rFonts w:asciiTheme="minorHAnsi" w:hAnsiTheme="minorHAnsi"/>
          <w:sz w:val="22"/>
          <w:szCs w:val="22"/>
        </w:rPr>
        <w:t xml:space="preserve">stemming from new sales and new customer demand </w:t>
      </w:r>
      <w:r w:rsidR="001C2986" w:rsidRPr="008054B6">
        <w:rPr>
          <w:rFonts w:asciiTheme="minorHAnsi" w:hAnsiTheme="minorHAnsi"/>
          <w:sz w:val="22"/>
          <w:szCs w:val="22"/>
        </w:rPr>
        <w:t xml:space="preserve">allowed for expansion of livelihoods activities, improved food </w:t>
      </w:r>
      <w:r w:rsidR="00040E32" w:rsidRPr="008054B6">
        <w:rPr>
          <w:rFonts w:asciiTheme="minorHAnsi" w:hAnsiTheme="minorHAnsi"/>
          <w:sz w:val="22"/>
          <w:szCs w:val="22"/>
        </w:rPr>
        <w:t>security in the home, and additional</w:t>
      </w:r>
      <w:r w:rsidR="001C2986" w:rsidRPr="008054B6">
        <w:rPr>
          <w:rFonts w:asciiTheme="minorHAnsi" w:hAnsiTheme="minorHAnsi"/>
          <w:sz w:val="22"/>
          <w:szCs w:val="22"/>
        </w:rPr>
        <w:t xml:space="preserve"> expenditures for schooling, housing costs, healthcare, and increased charity contributions (Ramadhan and Eid)</w:t>
      </w:r>
      <w:r w:rsidR="00154F02" w:rsidRPr="008054B6">
        <w:rPr>
          <w:rFonts w:asciiTheme="minorHAnsi" w:hAnsiTheme="minorHAnsi"/>
          <w:sz w:val="22"/>
          <w:szCs w:val="22"/>
        </w:rPr>
        <w:t xml:space="preserve"> to vulnerable community members.</w:t>
      </w:r>
      <w:r w:rsidR="00C03588" w:rsidRPr="008054B6">
        <w:rPr>
          <w:rFonts w:asciiTheme="minorHAnsi" w:hAnsiTheme="minorHAnsi"/>
          <w:sz w:val="22"/>
          <w:szCs w:val="22"/>
        </w:rPr>
        <w:t xml:space="preserve"> </w:t>
      </w:r>
      <w:r w:rsidR="00CA6CC9" w:rsidRPr="008054B6">
        <w:rPr>
          <w:rFonts w:asciiTheme="minorHAnsi" w:hAnsiTheme="minorHAnsi"/>
          <w:sz w:val="22"/>
          <w:szCs w:val="22"/>
        </w:rPr>
        <w:t>While not quantified, t</w:t>
      </w:r>
      <w:r w:rsidR="00C03588" w:rsidRPr="008054B6">
        <w:rPr>
          <w:rFonts w:asciiTheme="minorHAnsi" w:hAnsiTheme="minorHAnsi"/>
          <w:sz w:val="22"/>
          <w:szCs w:val="22"/>
        </w:rPr>
        <w:t>hese impacts were</w:t>
      </w:r>
      <w:r w:rsidR="00CA6CC9" w:rsidRPr="008054B6">
        <w:rPr>
          <w:rFonts w:asciiTheme="minorHAnsi" w:hAnsiTheme="minorHAnsi"/>
          <w:sz w:val="22"/>
          <w:szCs w:val="22"/>
        </w:rPr>
        <w:t xml:space="preserve"> consistently</w:t>
      </w:r>
      <w:r w:rsidR="00C03588" w:rsidRPr="008054B6">
        <w:rPr>
          <w:rFonts w:asciiTheme="minorHAnsi" w:hAnsiTheme="minorHAnsi"/>
          <w:sz w:val="22"/>
          <w:szCs w:val="22"/>
        </w:rPr>
        <w:t xml:space="preserve"> reported through focus groups and semi-structured conversations with participating vendors.</w:t>
      </w:r>
    </w:p>
    <w:p w14:paraId="555C1EF4" w14:textId="481F1F07" w:rsidR="008F7348" w:rsidRPr="008054B6" w:rsidRDefault="008F7348" w:rsidP="008054B6">
      <w:pPr>
        <w:pStyle w:val="yiv5386992270msonormal"/>
        <w:numPr>
          <w:ilvl w:val="0"/>
          <w:numId w:val="46"/>
        </w:numPr>
        <w:spacing w:before="0" w:beforeAutospacing="0" w:after="0" w:afterAutospacing="0"/>
        <w:rPr>
          <w:rFonts w:asciiTheme="minorHAnsi" w:hAnsiTheme="minorHAnsi"/>
          <w:sz w:val="22"/>
          <w:szCs w:val="22"/>
        </w:rPr>
      </w:pPr>
      <w:r w:rsidRPr="008054B6">
        <w:rPr>
          <w:rFonts w:asciiTheme="minorHAnsi" w:hAnsiTheme="minorHAnsi"/>
          <w:b/>
          <w:i/>
          <w:sz w:val="22"/>
          <w:szCs w:val="22"/>
        </w:rPr>
        <w:t>Expansion of personal business</w:t>
      </w:r>
      <w:r w:rsidR="001C2986" w:rsidRPr="008054B6">
        <w:rPr>
          <w:rFonts w:asciiTheme="minorHAnsi" w:hAnsiTheme="minorHAnsi"/>
          <w:sz w:val="22"/>
          <w:szCs w:val="22"/>
        </w:rPr>
        <w:t xml:space="preserve">, as several vendors indicated that </w:t>
      </w:r>
      <w:r w:rsidR="00F864C6" w:rsidRPr="008054B6">
        <w:rPr>
          <w:rFonts w:asciiTheme="minorHAnsi" w:hAnsiTheme="minorHAnsi"/>
          <w:sz w:val="22"/>
          <w:szCs w:val="22"/>
        </w:rPr>
        <w:t xml:space="preserve">they </w:t>
      </w:r>
      <w:r w:rsidR="001C2986" w:rsidRPr="008054B6">
        <w:rPr>
          <w:rFonts w:asciiTheme="minorHAnsi" w:hAnsiTheme="minorHAnsi"/>
          <w:sz w:val="22"/>
          <w:szCs w:val="22"/>
        </w:rPr>
        <w:t xml:space="preserve">were able to open new shop locations in the community with the revenues earned from the voucher program, as well as respond to increased demand for non-food items, thereby expanding commercial sales. </w:t>
      </w:r>
      <w:r w:rsidR="00D6393F" w:rsidRPr="008054B6">
        <w:rPr>
          <w:rFonts w:asciiTheme="minorHAnsi" w:hAnsiTheme="minorHAnsi"/>
          <w:sz w:val="22"/>
          <w:szCs w:val="22"/>
        </w:rPr>
        <w:t xml:space="preserve">In Kismayo, approximately 70 percent of vendors reported an ‘above </w:t>
      </w:r>
      <w:r w:rsidR="00097EF7" w:rsidRPr="008054B6">
        <w:rPr>
          <w:rFonts w:asciiTheme="minorHAnsi" w:hAnsiTheme="minorHAnsi"/>
          <w:sz w:val="22"/>
          <w:szCs w:val="22"/>
        </w:rPr>
        <w:t>normal’ increase</w:t>
      </w:r>
      <w:r w:rsidR="00D6393F" w:rsidRPr="008054B6">
        <w:rPr>
          <w:rFonts w:asciiTheme="minorHAnsi" w:hAnsiTheme="minorHAnsi"/>
          <w:sz w:val="22"/>
          <w:szCs w:val="22"/>
        </w:rPr>
        <w:t xml:space="preserve"> </w:t>
      </w:r>
      <w:r w:rsidR="00097EF7" w:rsidRPr="008054B6">
        <w:rPr>
          <w:rFonts w:asciiTheme="minorHAnsi" w:hAnsiTheme="minorHAnsi"/>
          <w:sz w:val="22"/>
          <w:szCs w:val="22"/>
        </w:rPr>
        <w:t>in demand</w:t>
      </w:r>
      <w:r w:rsidR="00D6393F" w:rsidRPr="008054B6">
        <w:rPr>
          <w:rFonts w:asciiTheme="minorHAnsi" w:hAnsiTheme="minorHAnsi"/>
          <w:sz w:val="22"/>
          <w:szCs w:val="22"/>
        </w:rPr>
        <w:t xml:space="preserve"> of non- food items. </w:t>
      </w:r>
      <w:r w:rsidR="001C2986" w:rsidRPr="008054B6">
        <w:rPr>
          <w:rFonts w:asciiTheme="minorHAnsi" w:hAnsiTheme="minorHAnsi"/>
          <w:sz w:val="22"/>
          <w:szCs w:val="22"/>
        </w:rPr>
        <w:t xml:space="preserve"> </w:t>
      </w:r>
      <w:r w:rsidR="004208BB" w:rsidRPr="008054B6">
        <w:rPr>
          <w:rFonts w:asciiTheme="minorHAnsi" w:hAnsiTheme="minorHAnsi"/>
          <w:sz w:val="22"/>
          <w:szCs w:val="22"/>
        </w:rPr>
        <w:t xml:space="preserve">Other benefits </w:t>
      </w:r>
      <w:r w:rsidR="001C2986" w:rsidRPr="008054B6">
        <w:rPr>
          <w:rFonts w:asciiTheme="minorHAnsi" w:hAnsiTheme="minorHAnsi"/>
          <w:sz w:val="22"/>
          <w:szCs w:val="22"/>
        </w:rPr>
        <w:t xml:space="preserve">included new and trusted relationships with an expanded network of </w:t>
      </w:r>
      <w:r w:rsidR="001C2986" w:rsidRPr="008054B6">
        <w:rPr>
          <w:rFonts w:asciiTheme="minorHAnsi" w:hAnsiTheme="minorHAnsi"/>
          <w:sz w:val="22"/>
          <w:szCs w:val="22"/>
        </w:rPr>
        <w:lastRenderedPageBreak/>
        <w:t>wholesalers, retailers, and transportation agencies</w:t>
      </w:r>
      <w:r w:rsidR="00154F02" w:rsidRPr="008054B6">
        <w:rPr>
          <w:rFonts w:asciiTheme="minorHAnsi" w:hAnsiTheme="minorHAnsi"/>
          <w:sz w:val="22"/>
          <w:szCs w:val="22"/>
        </w:rPr>
        <w:t>. Vendors also expressed confidence in seeking future opportunities with humanitarian agencies where they can apply new skills and systems for food assistance programming.</w:t>
      </w:r>
    </w:p>
    <w:tbl>
      <w:tblPr>
        <w:tblStyle w:val="TableGrid"/>
        <w:tblpPr w:leftFromText="180" w:rightFromText="180" w:vertAnchor="text" w:horzAnchor="margin" w:tblpXSpec="right" w:tblpY="1470"/>
        <w:tblOverlap w:val="nev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tblGrid>
      <w:tr w:rsidR="00E05BB5" w:rsidRPr="008054B6" w14:paraId="1A7DF471" w14:textId="77777777" w:rsidTr="00E05BB5">
        <w:tc>
          <w:tcPr>
            <w:tcW w:w="4945" w:type="dxa"/>
          </w:tcPr>
          <w:p w14:paraId="6AD57888" w14:textId="28C85F50" w:rsidR="00E05BB5" w:rsidRPr="008054B6" w:rsidRDefault="00E05BB5" w:rsidP="00E05BB5">
            <w:pPr>
              <w:pStyle w:val="yiv5386992270msonormal"/>
              <w:spacing w:before="0" w:beforeAutospacing="0" w:after="0" w:afterAutospacing="0"/>
              <w:rPr>
                <w:rFonts w:asciiTheme="minorHAnsi" w:hAnsiTheme="minorHAnsi"/>
                <w:b/>
                <w:sz w:val="22"/>
                <w:szCs w:val="22"/>
              </w:rPr>
            </w:pPr>
            <w:r w:rsidRPr="008054B6">
              <w:rPr>
                <w:rFonts w:asciiTheme="minorHAnsi" w:hAnsiTheme="minorHAnsi"/>
                <w:noProof/>
                <w:sz w:val="22"/>
                <w:szCs w:val="22"/>
                <w:lang w:bidi="ne-NP"/>
              </w:rPr>
              <w:drawing>
                <wp:anchor distT="0" distB="0" distL="114300" distR="114300" simplePos="0" relativeHeight="251672064" behindDoc="0" locked="0" layoutInCell="1" allowOverlap="1" wp14:anchorId="2F86B79C" wp14:editId="00A96C36">
                  <wp:simplePos x="0" y="0"/>
                  <wp:positionH relativeFrom="column">
                    <wp:posOffset>279807</wp:posOffset>
                  </wp:positionH>
                  <wp:positionV relativeFrom="paragraph">
                    <wp:posOffset>274248</wp:posOffset>
                  </wp:positionV>
                  <wp:extent cx="3348990" cy="204787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990" cy="2047875"/>
                          </a:xfrm>
                          <a:prstGeom prst="rect">
                            <a:avLst/>
                          </a:prstGeom>
                          <a:noFill/>
                        </pic:spPr>
                      </pic:pic>
                    </a:graphicData>
                  </a:graphic>
                  <wp14:sizeRelH relativeFrom="page">
                    <wp14:pctWidth>0</wp14:pctWidth>
                  </wp14:sizeRelH>
                  <wp14:sizeRelV relativeFrom="page">
                    <wp14:pctHeight>0</wp14:pctHeight>
                  </wp14:sizeRelV>
                </wp:anchor>
              </w:drawing>
            </w:r>
            <w:r w:rsidRPr="008054B6">
              <w:rPr>
                <w:rFonts w:asciiTheme="minorHAnsi" w:hAnsiTheme="minorHAnsi"/>
                <w:b/>
                <w:sz w:val="22"/>
                <w:szCs w:val="22"/>
              </w:rPr>
              <w:t>Figure X. Impact of Voucher Vendor Sales, Kismayo</w:t>
            </w:r>
          </w:p>
        </w:tc>
      </w:tr>
      <w:tr w:rsidR="00E05BB5" w:rsidRPr="008054B6" w14:paraId="112F051A" w14:textId="77777777" w:rsidTr="00E05BB5">
        <w:tc>
          <w:tcPr>
            <w:tcW w:w="4945" w:type="dxa"/>
          </w:tcPr>
          <w:p w14:paraId="22FE4F25" w14:textId="77777777" w:rsidR="00E05BB5" w:rsidRPr="00E05BB5" w:rsidRDefault="00E05BB5" w:rsidP="00E05BB5">
            <w:pPr>
              <w:pStyle w:val="yiv5386992270msonormal"/>
              <w:spacing w:before="0" w:beforeAutospacing="0" w:after="0" w:afterAutospacing="0"/>
              <w:rPr>
                <w:rFonts w:asciiTheme="minorHAnsi" w:hAnsiTheme="minorHAnsi"/>
                <w:sz w:val="4"/>
                <w:szCs w:val="4"/>
              </w:rPr>
            </w:pPr>
          </w:p>
        </w:tc>
      </w:tr>
      <w:tr w:rsidR="00E05BB5" w:rsidRPr="008054B6" w14:paraId="5809E165" w14:textId="77777777" w:rsidTr="00E05BB5">
        <w:tc>
          <w:tcPr>
            <w:tcW w:w="4945" w:type="dxa"/>
          </w:tcPr>
          <w:p w14:paraId="53E374EF" w14:textId="77777777" w:rsidR="00E05BB5" w:rsidRPr="008054B6" w:rsidRDefault="00E05BB5" w:rsidP="00E05BB5">
            <w:pPr>
              <w:pStyle w:val="yiv5386992270msonormal"/>
              <w:spacing w:before="0" w:beforeAutospacing="0" w:after="0" w:afterAutospacing="0"/>
              <w:rPr>
                <w:rFonts w:asciiTheme="minorHAnsi" w:hAnsiTheme="minorHAnsi"/>
                <w:i/>
                <w:sz w:val="22"/>
                <w:szCs w:val="22"/>
              </w:rPr>
            </w:pPr>
            <w:r w:rsidRPr="008054B6">
              <w:rPr>
                <w:rFonts w:asciiTheme="minorHAnsi" w:hAnsiTheme="minorHAnsi"/>
                <w:i/>
                <w:sz w:val="22"/>
                <w:szCs w:val="22"/>
              </w:rPr>
              <w:t>Source: Kismayo Final Program Evaluation</w:t>
            </w:r>
          </w:p>
        </w:tc>
      </w:tr>
    </w:tbl>
    <w:p w14:paraId="1B6477BF" w14:textId="3559B734" w:rsidR="008F7348" w:rsidRPr="008054B6" w:rsidRDefault="008F7348" w:rsidP="008054B6">
      <w:pPr>
        <w:pStyle w:val="yiv5386992270msonormal"/>
        <w:numPr>
          <w:ilvl w:val="0"/>
          <w:numId w:val="46"/>
        </w:numPr>
        <w:spacing w:before="0" w:beforeAutospacing="0" w:after="0" w:afterAutospacing="0"/>
        <w:rPr>
          <w:rFonts w:asciiTheme="minorHAnsi" w:hAnsiTheme="minorHAnsi"/>
          <w:sz w:val="22"/>
          <w:szCs w:val="22"/>
        </w:rPr>
      </w:pPr>
      <w:r w:rsidRPr="008054B6">
        <w:rPr>
          <w:rFonts w:asciiTheme="minorHAnsi" w:hAnsiTheme="minorHAnsi"/>
          <w:b/>
          <w:i/>
          <w:sz w:val="22"/>
          <w:szCs w:val="22"/>
        </w:rPr>
        <w:t>Job creation in the community</w:t>
      </w:r>
      <w:r w:rsidR="001C2986" w:rsidRPr="008054B6">
        <w:rPr>
          <w:rFonts w:asciiTheme="minorHAnsi" w:hAnsiTheme="minorHAnsi"/>
          <w:sz w:val="22"/>
          <w:szCs w:val="22"/>
        </w:rPr>
        <w:t xml:space="preserve"> was an outcome of increased business and volume of voucher sales</w:t>
      </w:r>
      <w:r w:rsidR="00775D8B" w:rsidRPr="008054B6">
        <w:rPr>
          <w:rFonts w:asciiTheme="minorHAnsi" w:hAnsiTheme="minorHAnsi"/>
          <w:sz w:val="22"/>
          <w:szCs w:val="22"/>
        </w:rPr>
        <w:t xml:space="preserve">, reflecting a positive impact </w:t>
      </w:r>
      <w:r w:rsidR="00A97F4F" w:rsidRPr="008054B6">
        <w:rPr>
          <w:rFonts w:asciiTheme="minorHAnsi" w:hAnsiTheme="minorHAnsi"/>
          <w:sz w:val="22"/>
          <w:szCs w:val="22"/>
        </w:rPr>
        <w:t>on the local labor market</w:t>
      </w:r>
      <w:r w:rsidR="001C2986" w:rsidRPr="008054B6">
        <w:rPr>
          <w:rFonts w:asciiTheme="minorHAnsi" w:hAnsiTheme="minorHAnsi"/>
          <w:sz w:val="22"/>
          <w:szCs w:val="22"/>
        </w:rPr>
        <w:t xml:space="preserve">. </w:t>
      </w:r>
      <w:r w:rsidR="00154F02" w:rsidRPr="008054B6">
        <w:rPr>
          <w:rFonts w:asciiTheme="minorHAnsi" w:hAnsiTheme="minorHAnsi"/>
          <w:sz w:val="22"/>
          <w:szCs w:val="22"/>
        </w:rPr>
        <w:t xml:space="preserve"> Most </w:t>
      </w:r>
      <w:r w:rsidR="001C2986" w:rsidRPr="008054B6">
        <w:rPr>
          <w:rFonts w:asciiTheme="minorHAnsi" w:hAnsiTheme="minorHAnsi"/>
          <w:sz w:val="22"/>
          <w:szCs w:val="22"/>
        </w:rPr>
        <w:t>vendors indicated that they had hired</w:t>
      </w:r>
      <w:r w:rsidR="00A97F4F" w:rsidRPr="008054B6">
        <w:rPr>
          <w:rFonts w:asciiTheme="minorHAnsi" w:hAnsiTheme="minorHAnsi"/>
          <w:sz w:val="22"/>
          <w:szCs w:val="22"/>
        </w:rPr>
        <w:t xml:space="preserve"> assistants, and in Mogadishu, focus groups revealed that vendors hired</w:t>
      </w:r>
      <w:r w:rsidR="001C2986" w:rsidRPr="008054B6">
        <w:rPr>
          <w:rFonts w:asciiTheme="minorHAnsi" w:hAnsiTheme="minorHAnsi"/>
          <w:sz w:val="22"/>
          <w:szCs w:val="22"/>
        </w:rPr>
        <w:t xml:space="preserve"> up to 10 assistants</w:t>
      </w:r>
      <w:r w:rsidR="00154F02" w:rsidRPr="008054B6">
        <w:rPr>
          <w:rFonts w:asciiTheme="minorHAnsi" w:hAnsiTheme="minorHAnsi"/>
          <w:sz w:val="22"/>
          <w:szCs w:val="22"/>
        </w:rPr>
        <w:t xml:space="preserve"> (clerks, cashiers, loaders, security, shopkeepers)</w:t>
      </w:r>
      <w:r w:rsidR="001C2986" w:rsidRPr="008054B6">
        <w:rPr>
          <w:rFonts w:asciiTheme="minorHAnsi" w:hAnsiTheme="minorHAnsi"/>
          <w:sz w:val="22"/>
          <w:szCs w:val="22"/>
        </w:rPr>
        <w:t xml:space="preserve"> to provide</w:t>
      </w:r>
      <w:r w:rsidR="004208BB" w:rsidRPr="008054B6">
        <w:rPr>
          <w:rFonts w:asciiTheme="minorHAnsi" w:hAnsiTheme="minorHAnsi"/>
          <w:sz w:val="22"/>
          <w:szCs w:val="22"/>
        </w:rPr>
        <w:t xml:space="preserve"> part- or full-time</w:t>
      </w:r>
      <w:r w:rsidR="001C2986" w:rsidRPr="008054B6">
        <w:rPr>
          <w:rFonts w:asciiTheme="minorHAnsi" w:hAnsiTheme="minorHAnsi"/>
          <w:sz w:val="22"/>
          <w:szCs w:val="22"/>
        </w:rPr>
        <w:t xml:space="preserve"> support during the project implementation</w:t>
      </w:r>
      <w:r w:rsidR="00154F02" w:rsidRPr="008054B6">
        <w:rPr>
          <w:rFonts w:asciiTheme="minorHAnsi" w:hAnsiTheme="minorHAnsi"/>
          <w:sz w:val="22"/>
          <w:szCs w:val="22"/>
        </w:rPr>
        <w:t>, providing an economic opportunity to local community members</w:t>
      </w:r>
      <w:r w:rsidR="001C2986" w:rsidRPr="008054B6">
        <w:rPr>
          <w:rFonts w:asciiTheme="minorHAnsi" w:hAnsiTheme="minorHAnsi"/>
          <w:sz w:val="22"/>
          <w:szCs w:val="22"/>
        </w:rPr>
        <w:t>.</w:t>
      </w:r>
      <w:r w:rsidR="004208BB" w:rsidRPr="008054B6">
        <w:rPr>
          <w:rFonts w:asciiTheme="minorHAnsi" w:hAnsiTheme="minorHAnsi"/>
          <w:sz w:val="22"/>
          <w:szCs w:val="22"/>
        </w:rPr>
        <w:t xml:space="preserve"> </w:t>
      </w:r>
      <w:r w:rsidR="00FF4831" w:rsidRPr="008054B6">
        <w:rPr>
          <w:rFonts w:asciiTheme="minorHAnsi" w:hAnsiTheme="minorHAnsi"/>
          <w:sz w:val="22"/>
          <w:szCs w:val="22"/>
        </w:rPr>
        <w:t xml:space="preserve">While many of these employees were short-term, some vendors in Mogadishu reported </w:t>
      </w:r>
      <w:r w:rsidR="00E05BB5">
        <w:rPr>
          <w:rFonts w:asciiTheme="minorHAnsi" w:hAnsiTheme="minorHAnsi"/>
          <w:sz w:val="22"/>
          <w:szCs w:val="22"/>
        </w:rPr>
        <w:t>t</w:t>
      </w:r>
      <w:r w:rsidR="00FF4831" w:rsidRPr="008054B6">
        <w:rPr>
          <w:rFonts w:asciiTheme="minorHAnsi" w:hAnsiTheme="minorHAnsi"/>
          <w:sz w:val="22"/>
          <w:szCs w:val="22"/>
        </w:rPr>
        <w:t>hat they had permanently retained some of the additional staff hired during peak program implementation.</w:t>
      </w:r>
    </w:p>
    <w:p w14:paraId="2C31E441" w14:textId="31576C5B" w:rsidR="008F7348" w:rsidRPr="008054B6" w:rsidRDefault="008F7348" w:rsidP="008054B6">
      <w:pPr>
        <w:pStyle w:val="yiv5386992270msonormal"/>
        <w:numPr>
          <w:ilvl w:val="0"/>
          <w:numId w:val="46"/>
        </w:numPr>
        <w:spacing w:before="0" w:beforeAutospacing="0" w:after="0" w:afterAutospacing="0"/>
        <w:rPr>
          <w:rFonts w:asciiTheme="minorHAnsi" w:hAnsiTheme="minorHAnsi"/>
          <w:sz w:val="22"/>
          <w:szCs w:val="22"/>
        </w:rPr>
      </w:pPr>
      <w:r w:rsidRPr="008054B6">
        <w:rPr>
          <w:rFonts w:asciiTheme="minorHAnsi" w:hAnsiTheme="minorHAnsi"/>
          <w:b/>
          <w:i/>
          <w:sz w:val="22"/>
          <w:szCs w:val="22"/>
        </w:rPr>
        <w:t>Community trust</w:t>
      </w:r>
      <w:r w:rsidRPr="008054B6">
        <w:rPr>
          <w:rFonts w:asciiTheme="minorHAnsi" w:hAnsiTheme="minorHAnsi"/>
          <w:sz w:val="22"/>
          <w:szCs w:val="22"/>
        </w:rPr>
        <w:t xml:space="preserve"> </w:t>
      </w:r>
      <w:r w:rsidR="001C2986" w:rsidRPr="008054B6">
        <w:rPr>
          <w:rFonts w:asciiTheme="minorHAnsi" w:hAnsiTheme="minorHAnsi"/>
          <w:sz w:val="22"/>
          <w:szCs w:val="22"/>
        </w:rPr>
        <w:t xml:space="preserve">was a key </w:t>
      </w:r>
      <w:r w:rsidR="00DE1D15" w:rsidRPr="008054B6">
        <w:rPr>
          <w:rFonts w:asciiTheme="minorHAnsi" w:hAnsiTheme="minorHAnsi"/>
          <w:sz w:val="22"/>
          <w:szCs w:val="22"/>
        </w:rPr>
        <w:t xml:space="preserve">result </w:t>
      </w:r>
      <w:r w:rsidR="00775D8B" w:rsidRPr="008054B6">
        <w:rPr>
          <w:rFonts w:asciiTheme="minorHAnsi" w:hAnsiTheme="minorHAnsi"/>
          <w:sz w:val="22"/>
          <w:szCs w:val="22"/>
        </w:rPr>
        <w:t xml:space="preserve">of working closely with CRS and </w:t>
      </w:r>
      <w:r w:rsidR="001C2986" w:rsidRPr="008054B6">
        <w:rPr>
          <w:rFonts w:asciiTheme="minorHAnsi" w:hAnsiTheme="minorHAnsi"/>
          <w:sz w:val="22"/>
          <w:szCs w:val="22"/>
        </w:rPr>
        <w:t xml:space="preserve">partners, </w:t>
      </w:r>
      <w:r w:rsidR="00A97F4F" w:rsidRPr="008054B6">
        <w:rPr>
          <w:rFonts w:asciiTheme="minorHAnsi" w:hAnsiTheme="minorHAnsi"/>
          <w:sz w:val="22"/>
          <w:szCs w:val="22"/>
        </w:rPr>
        <w:t xml:space="preserve">as well as </w:t>
      </w:r>
      <w:r w:rsidR="001C2986" w:rsidRPr="008054B6">
        <w:rPr>
          <w:rFonts w:asciiTheme="minorHAnsi" w:hAnsiTheme="minorHAnsi"/>
          <w:sz w:val="22"/>
          <w:szCs w:val="22"/>
        </w:rPr>
        <w:t>delivering assistance transparently, on time, and without incident.  During and following the voucher program, vendors</w:t>
      </w:r>
      <w:r w:rsidR="00A97F4F" w:rsidRPr="008054B6">
        <w:rPr>
          <w:rFonts w:asciiTheme="minorHAnsi" w:hAnsiTheme="minorHAnsi"/>
          <w:sz w:val="22"/>
          <w:szCs w:val="22"/>
        </w:rPr>
        <w:t xml:space="preserve"> reported in focus groups feeling that</w:t>
      </w:r>
      <w:r w:rsidR="001C2986" w:rsidRPr="008054B6">
        <w:rPr>
          <w:rFonts w:asciiTheme="minorHAnsi" w:hAnsiTheme="minorHAnsi"/>
          <w:sz w:val="22"/>
          <w:szCs w:val="22"/>
        </w:rPr>
        <w:t xml:space="preserve"> their reputation in the communit</w:t>
      </w:r>
      <w:r w:rsidR="00154F02" w:rsidRPr="008054B6">
        <w:rPr>
          <w:rFonts w:asciiTheme="minorHAnsi" w:hAnsiTheme="minorHAnsi"/>
          <w:sz w:val="22"/>
          <w:szCs w:val="22"/>
        </w:rPr>
        <w:t>y became more positive, and that they were ‘giving back’ to their community in a meaningful way through the program.</w:t>
      </w:r>
      <w:r w:rsidR="00A97F4F" w:rsidRPr="008054B6">
        <w:rPr>
          <w:rFonts w:asciiTheme="minorHAnsi" w:hAnsiTheme="minorHAnsi"/>
          <w:sz w:val="22"/>
          <w:szCs w:val="22"/>
        </w:rPr>
        <w:t xml:space="preserve">  While this information is based on self-reported perceptions of increased trust in the community, this impact is valuable for future replication in communities where conflict and unstable markets</w:t>
      </w:r>
      <w:r w:rsidR="00CA6CC9" w:rsidRPr="008054B6">
        <w:rPr>
          <w:rFonts w:asciiTheme="minorHAnsi" w:hAnsiTheme="minorHAnsi"/>
          <w:sz w:val="22"/>
          <w:szCs w:val="22"/>
        </w:rPr>
        <w:t xml:space="preserve"> may</w:t>
      </w:r>
      <w:r w:rsidR="00A97F4F" w:rsidRPr="008054B6">
        <w:rPr>
          <w:rFonts w:asciiTheme="minorHAnsi" w:hAnsiTheme="minorHAnsi"/>
          <w:sz w:val="22"/>
          <w:szCs w:val="22"/>
        </w:rPr>
        <w:t xml:space="preserve"> create opportunistic environments for vendors and market actors.</w:t>
      </w:r>
    </w:p>
    <w:p w14:paraId="70B31904" w14:textId="5007A97F" w:rsidR="008F7348" w:rsidRPr="008054B6" w:rsidRDefault="008F7348" w:rsidP="008054B6">
      <w:pPr>
        <w:pStyle w:val="yiv5386992270msonormal"/>
        <w:numPr>
          <w:ilvl w:val="0"/>
          <w:numId w:val="46"/>
        </w:numPr>
        <w:spacing w:before="0" w:beforeAutospacing="0" w:after="0" w:afterAutospacing="0"/>
        <w:rPr>
          <w:rFonts w:asciiTheme="minorHAnsi" w:hAnsiTheme="minorHAnsi"/>
          <w:sz w:val="22"/>
          <w:szCs w:val="22"/>
        </w:rPr>
      </w:pPr>
      <w:r w:rsidRPr="008054B6">
        <w:rPr>
          <w:rFonts w:asciiTheme="minorHAnsi" w:hAnsiTheme="minorHAnsi"/>
          <w:b/>
          <w:i/>
          <w:sz w:val="22"/>
          <w:szCs w:val="22"/>
        </w:rPr>
        <w:t>Adoption of new technologies</w:t>
      </w:r>
      <w:r w:rsidR="001C2986" w:rsidRPr="008054B6">
        <w:rPr>
          <w:rFonts w:asciiTheme="minorHAnsi" w:hAnsiTheme="minorHAnsi"/>
          <w:b/>
          <w:i/>
          <w:sz w:val="22"/>
          <w:szCs w:val="22"/>
        </w:rPr>
        <w:t xml:space="preserve"> and formalized business practice</w:t>
      </w:r>
      <w:r w:rsidR="00775D8B" w:rsidRPr="008054B6">
        <w:rPr>
          <w:rFonts w:asciiTheme="minorHAnsi" w:hAnsiTheme="minorHAnsi"/>
          <w:b/>
          <w:i/>
          <w:sz w:val="22"/>
          <w:szCs w:val="22"/>
        </w:rPr>
        <w:t>s</w:t>
      </w:r>
      <w:r w:rsidRPr="008054B6">
        <w:rPr>
          <w:rFonts w:asciiTheme="minorHAnsi" w:hAnsiTheme="minorHAnsi"/>
          <w:sz w:val="22"/>
          <w:szCs w:val="22"/>
        </w:rPr>
        <w:t>, including the use of SMS messaging systems and formal banking to manage revenues and increase business efficiency</w:t>
      </w:r>
      <w:r w:rsidR="004208BB" w:rsidRPr="008054B6">
        <w:rPr>
          <w:rFonts w:asciiTheme="minorHAnsi" w:hAnsiTheme="minorHAnsi"/>
          <w:sz w:val="22"/>
          <w:szCs w:val="22"/>
        </w:rPr>
        <w:t>.</w:t>
      </w:r>
      <w:r w:rsidR="00EA2DAF" w:rsidRPr="008054B6">
        <w:rPr>
          <w:rFonts w:asciiTheme="minorHAnsi" w:hAnsiTheme="minorHAnsi"/>
          <w:sz w:val="22"/>
          <w:szCs w:val="22"/>
        </w:rPr>
        <w:t xml:space="preserve">  While specific statistical data is not available, several vendors in all three project locations reported that they introduced formal banking into their business operations because of the voucher program.</w:t>
      </w:r>
    </w:p>
    <w:p w14:paraId="3622233D" w14:textId="5A521737" w:rsidR="00154F02" w:rsidRPr="008054B6" w:rsidRDefault="00154F02" w:rsidP="008054B6">
      <w:pPr>
        <w:pStyle w:val="yiv5386992270msonormal"/>
        <w:numPr>
          <w:ilvl w:val="0"/>
          <w:numId w:val="46"/>
        </w:numPr>
        <w:spacing w:before="0" w:beforeAutospacing="0" w:after="0" w:afterAutospacing="0"/>
        <w:rPr>
          <w:rFonts w:asciiTheme="minorHAnsi" w:hAnsiTheme="minorHAnsi"/>
          <w:sz w:val="22"/>
          <w:szCs w:val="22"/>
        </w:rPr>
      </w:pPr>
      <w:r w:rsidRPr="008054B6">
        <w:rPr>
          <w:rFonts w:asciiTheme="minorHAnsi" w:hAnsiTheme="minorHAnsi"/>
          <w:b/>
          <w:i/>
          <w:sz w:val="22"/>
          <w:szCs w:val="22"/>
        </w:rPr>
        <w:t>Organization and association-building</w:t>
      </w:r>
      <w:r w:rsidRPr="008054B6">
        <w:rPr>
          <w:rFonts w:asciiTheme="minorHAnsi" w:hAnsiTheme="minorHAnsi"/>
          <w:b/>
          <w:sz w:val="22"/>
          <w:szCs w:val="22"/>
        </w:rPr>
        <w:t xml:space="preserve"> </w:t>
      </w:r>
      <w:r w:rsidRPr="008054B6">
        <w:rPr>
          <w:rFonts w:asciiTheme="minorHAnsi" w:hAnsiTheme="minorHAnsi"/>
          <w:sz w:val="22"/>
          <w:szCs w:val="22"/>
        </w:rPr>
        <w:t>was an informal outcome of the voucher program, as vendors also increased their ability to advocate and organize with institutional stakeholders such as municipal leadership.</w:t>
      </w:r>
    </w:p>
    <w:p w14:paraId="3CE63DBC" w14:textId="77777777" w:rsidR="008F7348" w:rsidRPr="008054B6" w:rsidRDefault="008F7348" w:rsidP="008054B6">
      <w:pPr>
        <w:pStyle w:val="yiv5386992270msonormal"/>
        <w:spacing w:before="0" w:beforeAutospacing="0" w:after="0" w:afterAutospacing="0"/>
        <w:ind w:left="720"/>
        <w:rPr>
          <w:rFonts w:asciiTheme="minorHAnsi" w:hAnsiTheme="minorHAnsi"/>
          <w:sz w:val="22"/>
          <w:szCs w:val="22"/>
        </w:rPr>
      </w:pPr>
    </w:p>
    <w:p w14:paraId="7106FCBB" w14:textId="5C61F25D" w:rsidR="004A4674" w:rsidRPr="008054B6" w:rsidRDefault="00775D8B"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u w:val="single"/>
        </w:rPr>
        <w:t>Porters and transport a</w:t>
      </w:r>
      <w:r w:rsidR="004A4674" w:rsidRPr="008054B6">
        <w:rPr>
          <w:rFonts w:asciiTheme="minorHAnsi" w:hAnsiTheme="minorHAnsi"/>
          <w:sz w:val="22"/>
          <w:szCs w:val="22"/>
          <w:u w:val="single"/>
        </w:rPr>
        <w:t>gents</w:t>
      </w:r>
      <w:r w:rsidR="004A4674" w:rsidRPr="008054B6">
        <w:rPr>
          <w:rFonts w:asciiTheme="minorHAnsi" w:hAnsiTheme="minorHAnsi"/>
          <w:b/>
          <w:sz w:val="22"/>
          <w:szCs w:val="22"/>
        </w:rPr>
        <w:t>:</w:t>
      </w:r>
      <w:r w:rsidR="004A4674" w:rsidRPr="008054B6">
        <w:rPr>
          <w:rFonts w:asciiTheme="minorHAnsi" w:hAnsiTheme="minorHAnsi"/>
          <w:sz w:val="22"/>
          <w:szCs w:val="22"/>
        </w:rPr>
        <w:t xml:space="preserve">  Anecdotal responses from program stakeholders suggest that several other groups of market actors benefitted economically from the voucher program, including local transport providers such as donkey cart owners, porters, and taxi drivers.  </w:t>
      </w:r>
      <w:r w:rsidR="00A97F4F" w:rsidRPr="008054B6">
        <w:rPr>
          <w:rFonts w:asciiTheme="minorHAnsi" w:hAnsiTheme="minorHAnsi"/>
          <w:sz w:val="22"/>
          <w:szCs w:val="22"/>
        </w:rPr>
        <w:t xml:space="preserve">These informal reports suggest that </w:t>
      </w:r>
      <w:r w:rsidR="00040E32" w:rsidRPr="008054B6">
        <w:rPr>
          <w:rFonts w:asciiTheme="minorHAnsi" w:hAnsiTheme="minorHAnsi"/>
          <w:sz w:val="22"/>
          <w:szCs w:val="22"/>
        </w:rPr>
        <w:t>this group of market actors</w:t>
      </w:r>
      <w:r w:rsidR="004A4674" w:rsidRPr="008054B6">
        <w:rPr>
          <w:rFonts w:asciiTheme="minorHAnsi" w:hAnsiTheme="minorHAnsi"/>
          <w:sz w:val="22"/>
          <w:szCs w:val="22"/>
        </w:rPr>
        <w:t xml:space="preserve"> experienced increased revenues due to increasing needs of food assistance recipients to travel to shops, and to transport food baskets back to their homes and areas of residence. </w:t>
      </w:r>
      <w:r w:rsidR="00A97F4F" w:rsidRPr="008054B6">
        <w:rPr>
          <w:rFonts w:asciiTheme="minorHAnsi" w:hAnsiTheme="minorHAnsi"/>
          <w:sz w:val="22"/>
          <w:szCs w:val="22"/>
        </w:rPr>
        <w:t>While the scope and scale of the impact on this group is conjectural,</w:t>
      </w:r>
      <w:r w:rsidR="004A4674" w:rsidRPr="008054B6">
        <w:rPr>
          <w:rFonts w:asciiTheme="minorHAnsi" w:hAnsiTheme="minorHAnsi"/>
          <w:sz w:val="22"/>
          <w:szCs w:val="22"/>
        </w:rPr>
        <w:t xml:space="preserve"> additional economic benefit was reported in all three project sites</w:t>
      </w:r>
      <w:r w:rsidR="00A97F4F" w:rsidRPr="008054B6">
        <w:rPr>
          <w:rFonts w:asciiTheme="minorHAnsi" w:hAnsiTheme="minorHAnsi"/>
          <w:sz w:val="22"/>
          <w:szCs w:val="22"/>
        </w:rPr>
        <w:t xml:space="preserve"> </w:t>
      </w:r>
      <w:r w:rsidR="00A30A09" w:rsidRPr="008054B6">
        <w:rPr>
          <w:rFonts w:asciiTheme="minorHAnsi" w:hAnsiTheme="minorHAnsi"/>
          <w:sz w:val="22"/>
          <w:szCs w:val="22"/>
        </w:rPr>
        <w:t>and thus indicates</w:t>
      </w:r>
      <w:r w:rsidR="00A97F4F" w:rsidRPr="008054B6">
        <w:rPr>
          <w:rFonts w:asciiTheme="minorHAnsi" w:hAnsiTheme="minorHAnsi"/>
          <w:sz w:val="22"/>
          <w:szCs w:val="22"/>
        </w:rPr>
        <w:t xml:space="preserve"> some </w:t>
      </w:r>
      <w:r w:rsidR="00F864C6" w:rsidRPr="008054B6">
        <w:rPr>
          <w:rFonts w:asciiTheme="minorHAnsi" w:hAnsiTheme="minorHAnsi"/>
          <w:sz w:val="22"/>
          <w:szCs w:val="22"/>
        </w:rPr>
        <w:t xml:space="preserve">advantage </w:t>
      </w:r>
      <w:r w:rsidR="00A30A09" w:rsidRPr="008054B6">
        <w:rPr>
          <w:rFonts w:asciiTheme="minorHAnsi" w:hAnsiTheme="minorHAnsi"/>
          <w:sz w:val="22"/>
          <w:szCs w:val="22"/>
        </w:rPr>
        <w:t>to these market intermediaries</w:t>
      </w:r>
      <w:r w:rsidR="004A4674" w:rsidRPr="008054B6">
        <w:rPr>
          <w:rFonts w:asciiTheme="minorHAnsi" w:hAnsiTheme="minorHAnsi"/>
          <w:sz w:val="22"/>
          <w:szCs w:val="22"/>
        </w:rPr>
        <w:t xml:space="preserve">.   </w:t>
      </w:r>
    </w:p>
    <w:p w14:paraId="25239093" w14:textId="77777777" w:rsidR="00C96E14" w:rsidRPr="008054B6" w:rsidRDefault="00C96E14" w:rsidP="008054B6">
      <w:pPr>
        <w:pStyle w:val="yiv5386992270msonormal"/>
        <w:spacing w:before="0" w:beforeAutospacing="0" w:after="0" w:afterAutospacing="0"/>
        <w:rPr>
          <w:rFonts w:asciiTheme="minorHAnsi" w:hAnsiTheme="minorHAnsi"/>
          <w:sz w:val="22"/>
          <w:szCs w:val="22"/>
        </w:rPr>
      </w:pPr>
    </w:p>
    <w:p w14:paraId="1A10253C" w14:textId="0A878740" w:rsidR="00A56F23" w:rsidRPr="008054B6" w:rsidRDefault="00775D8B" w:rsidP="008054B6">
      <w:pPr>
        <w:spacing w:after="0" w:line="240" w:lineRule="auto"/>
        <w:contextualSpacing/>
        <w:rPr>
          <w:rFonts w:cs="Times New Roman"/>
        </w:rPr>
      </w:pPr>
      <w:r w:rsidRPr="008054B6">
        <w:rPr>
          <w:rFonts w:cs="Times New Roman"/>
          <w:u w:val="single"/>
        </w:rPr>
        <w:t>Benefits to local f</w:t>
      </w:r>
      <w:r w:rsidR="00E3797D" w:rsidRPr="008054B6">
        <w:rPr>
          <w:rFonts w:cs="Times New Roman"/>
          <w:u w:val="single"/>
        </w:rPr>
        <w:t>armers</w:t>
      </w:r>
      <w:r w:rsidR="00E3797D" w:rsidRPr="008054B6">
        <w:rPr>
          <w:rFonts w:cs="Times New Roman"/>
        </w:rPr>
        <w:t xml:space="preserve">:  </w:t>
      </w:r>
      <w:r w:rsidR="00A56F23" w:rsidRPr="008054B6">
        <w:rPr>
          <w:rFonts w:cs="Times New Roman"/>
        </w:rPr>
        <w:t>The program offered the opportunity to capitalize on the linkages between urban and rural economies along the shared market chain</w:t>
      </w:r>
      <w:r w:rsidR="00E3797D" w:rsidRPr="008054B6">
        <w:rPr>
          <w:rFonts w:cs="Times New Roman"/>
        </w:rPr>
        <w:t>, as vendors of locally-produced foods could stimulate local production.  While this was not directly measured through this case study, r</w:t>
      </w:r>
      <w:r w:rsidR="00A56F23" w:rsidRPr="008054B6">
        <w:rPr>
          <w:rFonts w:cs="Times New Roman"/>
        </w:rPr>
        <w:t xml:space="preserve">ecognizing </w:t>
      </w:r>
      <w:r w:rsidR="00A56F23" w:rsidRPr="008054B6">
        <w:rPr>
          <w:rFonts w:cs="Times New Roman"/>
        </w:rPr>
        <w:lastRenderedPageBreak/>
        <w:t xml:space="preserve">the potential synergies that connect urban and rural economies is critical for donors and humanitarian agencies to design emergency food security interventions and promote policies that ultimately integrate economies and build resilience at all economic levels of both urban and rural populations. Market-based food security interventions in urban area increase beneficiaries’ access to food and diet diversification both in rural and urban settings, generate income in rural areas, create demand for agricultural production, and reduce expenses in urban areas, creating a beneficial and constant cycle that can increase purchasing power and ease access to more and diversified diets.  </w:t>
      </w:r>
    </w:p>
    <w:p w14:paraId="3FF7EEDB" w14:textId="65C85577" w:rsidR="00A56F23" w:rsidRPr="008054B6" w:rsidRDefault="00A56F23" w:rsidP="008054B6">
      <w:pPr>
        <w:pStyle w:val="yiv5386992270msonormal"/>
        <w:spacing w:before="0" w:beforeAutospacing="0" w:after="0" w:afterAutospacing="0"/>
        <w:rPr>
          <w:rFonts w:asciiTheme="minorHAnsi" w:hAnsiTheme="minorHAnsi"/>
          <w:sz w:val="22"/>
          <w:szCs w:val="22"/>
        </w:rPr>
      </w:pPr>
    </w:p>
    <w:p w14:paraId="7B252E91" w14:textId="2B03488D" w:rsidR="00C96E14" w:rsidRPr="008054B6" w:rsidRDefault="003269CD" w:rsidP="008054B6">
      <w:pPr>
        <w:pStyle w:val="yiv5386992270msonormal"/>
        <w:spacing w:before="0" w:beforeAutospacing="0" w:after="0" w:afterAutospacing="0"/>
        <w:rPr>
          <w:rFonts w:asciiTheme="minorHAnsi" w:hAnsiTheme="minorHAnsi"/>
          <w:i/>
          <w:sz w:val="22"/>
          <w:szCs w:val="22"/>
        </w:rPr>
      </w:pPr>
      <w:r w:rsidRPr="008054B6">
        <w:rPr>
          <w:rFonts w:asciiTheme="minorHAnsi" w:hAnsiTheme="minorHAnsi"/>
          <w:i/>
          <w:sz w:val="22"/>
          <w:szCs w:val="22"/>
        </w:rPr>
        <w:t>Household Economy</w:t>
      </w:r>
      <w:r w:rsidR="00C96E14" w:rsidRPr="008054B6">
        <w:rPr>
          <w:rFonts w:asciiTheme="minorHAnsi" w:hAnsiTheme="minorHAnsi"/>
          <w:i/>
          <w:sz w:val="22"/>
          <w:szCs w:val="22"/>
        </w:rPr>
        <w:t xml:space="preserve"> and Household Dynamics</w:t>
      </w:r>
    </w:p>
    <w:p w14:paraId="51B4EB35" w14:textId="38030491" w:rsidR="008F7348" w:rsidRPr="008054B6" w:rsidRDefault="00F864C6" w:rsidP="008054B6">
      <w:pPr>
        <w:pStyle w:val="yiv5386992270msonormal"/>
        <w:spacing w:before="0" w:beforeAutospacing="0" w:after="0" w:afterAutospacing="0"/>
        <w:rPr>
          <w:rFonts w:asciiTheme="minorHAnsi" w:hAnsiTheme="minorHAnsi"/>
          <w:sz w:val="22"/>
          <w:szCs w:val="22"/>
        </w:rPr>
      </w:pPr>
      <w:r w:rsidRPr="008054B6">
        <w:rPr>
          <w:rFonts w:asciiTheme="minorHAnsi" w:eastAsiaTheme="minorHAnsi" w:hAnsiTheme="minorHAnsi" w:cstheme="minorBidi"/>
          <w:i/>
          <w:noProof/>
          <w:sz w:val="22"/>
          <w:szCs w:val="22"/>
          <w:lang w:bidi="ne-NP"/>
        </w:rPr>
        <mc:AlternateContent>
          <mc:Choice Requires="wps">
            <w:drawing>
              <wp:anchor distT="0" distB="0" distL="114300" distR="114300" simplePos="0" relativeHeight="251668992" behindDoc="0" locked="0" layoutInCell="1" allowOverlap="1" wp14:anchorId="226856BA" wp14:editId="4F6989E7">
                <wp:simplePos x="0" y="0"/>
                <wp:positionH relativeFrom="margin">
                  <wp:align>right</wp:align>
                </wp:positionH>
                <wp:positionV relativeFrom="paragraph">
                  <wp:posOffset>125095</wp:posOffset>
                </wp:positionV>
                <wp:extent cx="1716405" cy="1866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716405" cy="1866900"/>
                        </a:xfrm>
                        <a:prstGeom prst="rect">
                          <a:avLst/>
                        </a:prstGeom>
                        <a:solidFill>
                          <a:schemeClr val="accent1">
                            <a:lumMod val="20000"/>
                            <a:lumOff val="80000"/>
                          </a:schemeClr>
                        </a:solidFill>
                        <a:ln w="38100" cmpd="dbl">
                          <a:noFill/>
                        </a:ln>
                        <a:effectLst/>
                      </wps:spPr>
                      <wps:txbx>
                        <w:txbxContent>
                          <w:p w14:paraId="3C94B88C" w14:textId="77777777" w:rsidR="00F45600" w:rsidRPr="003F65B9" w:rsidRDefault="00F45600" w:rsidP="008054B6">
                            <w:pPr>
                              <w:shd w:val="clear" w:color="auto" w:fill="DEEAF6" w:themeFill="accent1" w:themeFillTint="33"/>
                              <w:jc w:val="both"/>
                              <w:rPr>
                                <w:rFonts w:ascii="Times New Roman" w:hAnsi="Times New Roman"/>
                                <w:i/>
                                <w:sz w:val="20"/>
                                <w:szCs w:val="20"/>
                              </w:rPr>
                            </w:pPr>
                            <w:r w:rsidRPr="003F65B9">
                              <w:rPr>
                                <w:rFonts w:ascii="Times New Roman" w:hAnsi="Times New Roman"/>
                                <w:b/>
                                <w:i/>
                                <w:sz w:val="20"/>
                                <w:szCs w:val="20"/>
                              </w:rPr>
                              <w:t xml:space="preserve"> “I often quarrel with my husband whenever we missed food in the house because I had to put pressure on him to look for food, we almost separated on several occasion, since receiving the food vouchers our quarrels have reduced.”</w:t>
                            </w:r>
                            <w:r w:rsidRPr="003F65B9">
                              <w:rPr>
                                <w:rFonts w:ascii="Times New Roman" w:hAnsi="Times New Roman"/>
                                <w:i/>
                                <w:sz w:val="20"/>
                                <w:szCs w:val="20"/>
                              </w:rPr>
                              <w:t xml:space="preserve">  </w:t>
                            </w:r>
                          </w:p>
                          <w:p w14:paraId="0E47252E" w14:textId="422919B9" w:rsidR="00F45600" w:rsidRPr="003F65B9" w:rsidRDefault="00F45600" w:rsidP="008054B6">
                            <w:pPr>
                              <w:shd w:val="clear" w:color="auto" w:fill="DEEAF6" w:themeFill="accent1" w:themeFillTint="33"/>
                              <w:jc w:val="both"/>
                              <w:rPr>
                                <w:rFonts w:ascii="Times New Roman" w:hAnsi="Times New Roman"/>
                                <w:sz w:val="20"/>
                                <w:szCs w:val="20"/>
                              </w:rPr>
                            </w:pPr>
                            <w:r>
                              <w:rPr>
                                <w:rFonts w:ascii="Times New Roman" w:hAnsi="Times New Roman"/>
                                <w:sz w:val="20"/>
                                <w:szCs w:val="20"/>
                              </w:rPr>
                              <w:t xml:space="preserve">IDP </w:t>
                            </w:r>
                            <w:r w:rsidRPr="003F65B9">
                              <w:rPr>
                                <w:rFonts w:ascii="Times New Roman" w:hAnsi="Times New Roman"/>
                                <w:sz w:val="20"/>
                                <w:szCs w:val="20"/>
                              </w:rPr>
                              <w:t>beneficiary</w:t>
                            </w:r>
                            <w:r>
                              <w:rPr>
                                <w:rFonts w:ascii="Times New Roman" w:hAnsi="Times New Roman"/>
                                <w:sz w:val="20"/>
                                <w:szCs w:val="20"/>
                              </w:rPr>
                              <w:t>, Kismayo</w:t>
                            </w:r>
                            <w:r w:rsidRPr="003F65B9">
                              <w:rPr>
                                <w:rFonts w:ascii="Times New Roman" w:hAnsi="Times New Roman"/>
                                <w:sz w:val="20"/>
                                <w:szCs w:val="20"/>
                              </w:rPr>
                              <w:t xml:space="preserve"> </w:t>
                            </w:r>
                          </w:p>
                          <w:p w14:paraId="002B0D2E" w14:textId="3078AA27" w:rsidR="00F45600" w:rsidRDefault="00F45600" w:rsidP="008054B6">
                            <w:pPr>
                              <w:shd w:val="clear" w:color="auto" w:fill="DEEAF6" w:themeFill="accent1" w:themeFillTint="33"/>
                              <w:jc w:val="both"/>
                              <w:rPr>
                                <w:rFonts w:ascii="Times New Roman" w:hAnsi="Times New Roman"/>
                                <w:sz w:val="20"/>
                                <w:szCs w:val="20"/>
                              </w:rPr>
                            </w:pPr>
                            <w:r w:rsidRPr="003F65B9">
                              <w:rPr>
                                <w:rFonts w:ascii="Times New Roman" w:hAnsi="Times New Roman"/>
                                <w:sz w:val="20"/>
                                <w:szCs w:val="20"/>
                              </w:rPr>
                              <w:t xml:space="preserve"> </w:t>
                            </w:r>
                          </w:p>
                          <w:p w14:paraId="787F094D" w14:textId="77777777" w:rsidR="00F45600" w:rsidRPr="003F65B9" w:rsidRDefault="00F45600" w:rsidP="008054B6">
                            <w:pPr>
                              <w:shd w:val="clear" w:color="auto" w:fill="DEEAF6" w:themeFill="accent1" w:themeFillTint="33"/>
                              <w:jc w:val="bot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856BA" id="Text Box 8" o:spid="_x0000_s1027" type="#_x0000_t202" style="position:absolute;margin-left:83.95pt;margin-top:9.85pt;width:135.15pt;height:147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" fillcolor="#deeaf6 [660]" stroked="f" strokeweight="3pt">
                <v:stroke linestyle="thinThin"/>
                <v:textbox>
                  <w:txbxContent>
                    <w:p w14:paraId="3C94B88C" w14:textId="77777777" w:rsidR="00F45600" w:rsidRPr="003F65B9" w:rsidRDefault="00F45600" w:rsidP="008054B6">
                      <w:pPr>
                        <w:shd w:val="clear" w:color="auto" w:fill="DEEAF6" w:themeFill="accent1" w:themeFillTint="33"/>
                        <w:jc w:val="both"/>
                        <w:rPr>
                          <w:rFonts w:ascii="Times New Roman" w:hAnsi="Times New Roman"/>
                          <w:i/>
                          <w:sz w:val="20"/>
                          <w:szCs w:val="20"/>
                        </w:rPr>
                      </w:pPr>
                      <w:r w:rsidRPr="003F65B9">
                        <w:rPr>
                          <w:rFonts w:ascii="Times New Roman" w:hAnsi="Times New Roman"/>
                          <w:b/>
                          <w:i/>
                          <w:sz w:val="20"/>
                          <w:szCs w:val="20"/>
                        </w:rPr>
                        <w:t xml:space="preserve"> “I often quarrel with my husband whenever we missed food in the house because I had to put pressure on him to look for food, we almost separated on several occasion, since receiving the food vouchers our quarrels have reduced.”</w:t>
                      </w:r>
                      <w:r w:rsidRPr="003F65B9">
                        <w:rPr>
                          <w:rFonts w:ascii="Times New Roman" w:hAnsi="Times New Roman"/>
                          <w:i/>
                          <w:sz w:val="20"/>
                          <w:szCs w:val="20"/>
                        </w:rPr>
                        <w:t xml:space="preserve">  </w:t>
                      </w:r>
                    </w:p>
                    <w:p w14:paraId="0E47252E" w14:textId="422919B9" w:rsidR="00F45600" w:rsidRPr="003F65B9" w:rsidRDefault="00F45600" w:rsidP="008054B6">
                      <w:pPr>
                        <w:shd w:val="clear" w:color="auto" w:fill="DEEAF6" w:themeFill="accent1" w:themeFillTint="33"/>
                        <w:jc w:val="both"/>
                        <w:rPr>
                          <w:rFonts w:ascii="Times New Roman" w:hAnsi="Times New Roman"/>
                          <w:sz w:val="20"/>
                          <w:szCs w:val="20"/>
                        </w:rPr>
                      </w:pPr>
                      <w:r>
                        <w:rPr>
                          <w:rFonts w:ascii="Times New Roman" w:hAnsi="Times New Roman"/>
                          <w:sz w:val="20"/>
                          <w:szCs w:val="20"/>
                        </w:rPr>
                        <w:t xml:space="preserve">IDP </w:t>
                      </w:r>
                      <w:r w:rsidRPr="003F65B9">
                        <w:rPr>
                          <w:rFonts w:ascii="Times New Roman" w:hAnsi="Times New Roman"/>
                          <w:sz w:val="20"/>
                          <w:szCs w:val="20"/>
                        </w:rPr>
                        <w:t>beneficiary</w:t>
                      </w:r>
                      <w:r>
                        <w:rPr>
                          <w:rFonts w:ascii="Times New Roman" w:hAnsi="Times New Roman"/>
                          <w:sz w:val="20"/>
                          <w:szCs w:val="20"/>
                        </w:rPr>
                        <w:t xml:space="preserve">, </w:t>
                      </w:r>
                      <w:proofErr w:type="spellStart"/>
                      <w:r>
                        <w:rPr>
                          <w:rFonts w:ascii="Times New Roman" w:hAnsi="Times New Roman"/>
                          <w:sz w:val="20"/>
                          <w:szCs w:val="20"/>
                        </w:rPr>
                        <w:t>Kismayo</w:t>
                      </w:r>
                      <w:proofErr w:type="spellEnd"/>
                      <w:r w:rsidRPr="003F65B9">
                        <w:rPr>
                          <w:rFonts w:ascii="Times New Roman" w:hAnsi="Times New Roman"/>
                          <w:sz w:val="20"/>
                          <w:szCs w:val="20"/>
                        </w:rPr>
                        <w:t xml:space="preserve"> </w:t>
                      </w:r>
                    </w:p>
                    <w:p w14:paraId="002B0D2E" w14:textId="3078AA27" w:rsidR="00F45600" w:rsidRDefault="00F45600" w:rsidP="008054B6">
                      <w:pPr>
                        <w:shd w:val="clear" w:color="auto" w:fill="DEEAF6" w:themeFill="accent1" w:themeFillTint="33"/>
                        <w:jc w:val="both"/>
                        <w:rPr>
                          <w:rFonts w:ascii="Times New Roman" w:hAnsi="Times New Roman"/>
                          <w:sz w:val="20"/>
                          <w:szCs w:val="20"/>
                        </w:rPr>
                      </w:pPr>
                      <w:r w:rsidRPr="003F65B9">
                        <w:rPr>
                          <w:rFonts w:ascii="Times New Roman" w:hAnsi="Times New Roman"/>
                          <w:sz w:val="20"/>
                          <w:szCs w:val="20"/>
                        </w:rPr>
                        <w:t xml:space="preserve"> </w:t>
                      </w:r>
                    </w:p>
                    <w:p w14:paraId="787F094D" w14:textId="77777777" w:rsidR="00F45600" w:rsidRPr="003F65B9" w:rsidRDefault="00F45600" w:rsidP="008054B6">
                      <w:pPr>
                        <w:shd w:val="clear" w:color="auto" w:fill="DEEAF6" w:themeFill="accent1" w:themeFillTint="33"/>
                        <w:jc w:val="both"/>
                        <w:rPr>
                          <w:i/>
                          <w:sz w:val="20"/>
                          <w:szCs w:val="20"/>
                        </w:rPr>
                      </w:pPr>
                    </w:p>
                  </w:txbxContent>
                </v:textbox>
                <w10:wrap type="square" anchorx="margin"/>
              </v:shape>
            </w:pict>
          </mc:Fallback>
        </mc:AlternateContent>
      </w:r>
      <w:r w:rsidR="008F7348" w:rsidRPr="008054B6">
        <w:rPr>
          <w:rFonts w:asciiTheme="minorHAnsi" w:hAnsiTheme="minorHAnsi"/>
          <w:sz w:val="22"/>
          <w:szCs w:val="22"/>
          <w:u w:val="single"/>
        </w:rPr>
        <w:t>Decrease in household conflict</w:t>
      </w:r>
      <w:r w:rsidR="003B774F" w:rsidRPr="008054B6">
        <w:rPr>
          <w:rFonts w:asciiTheme="minorHAnsi" w:hAnsiTheme="minorHAnsi"/>
          <w:sz w:val="22"/>
          <w:szCs w:val="22"/>
          <w:u w:val="single"/>
        </w:rPr>
        <w:t>:</w:t>
      </w:r>
      <w:r w:rsidR="003B774F" w:rsidRPr="008054B6">
        <w:rPr>
          <w:rFonts w:asciiTheme="minorHAnsi" w:hAnsiTheme="minorHAnsi"/>
          <w:sz w:val="22"/>
          <w:szCs w:val="22"/>
        </w:rPr>
        <w:t xml:space="preserve">  Focus groups frequently reported increased harmonization in the home, indicating that reduced financial stress and more abundant food supplies mitigated tension between husband and wife.  Women in Mogadishu reported referring to the voucher as the “father of families” because it </w:t>
      </w:r>
      <w:r w:rsidR="00A30A09" w:rsidRPr="008054B6">
        <w:rPr>
          <w:rFonts w:asciiTheme="minorHAnsi" w:hAnsiTheme="minorHAnsi"/>
          <w:sz w:val="22"/>
          <w:szCs w:val="22"/>
        </w:rPr>
        <w:t>supported</w:t>
      </w:r>
      <w:r w:rsidR="003B774F" w:rsidRPr="008054B6">
        <w:rPr>
          <w:rFonts w:asciiTheme="minorHAnsi" w:hAnsiTheme="minorHAnsi"/>
          <w:sz w:val="22"/>
          <w:szCs w:val="22"/>
        </w:rPr>
        <w:t xml:space="preserve"> the role of the male wage earner and provided for the household. Families reported that family members maintained better relationships during the voucher program because household medical, school, and food needs could be met without typical coping mechanisms such as sending children away, looking for work, and feeling stress over lack of food and cash.  Where children and the women in the family might be forced to seek paid labor opportunities, the voucher eased financial burdens and allowed children to stay with the family, </w:t>
      </w:r>
      <w:r w:rsidR="00651FD0" w:rsidRPr="008054B6">
        <w:rPr>
          <w:rFonts w:asciiTheme="minorHAnsi" w:hAnsiTheme="minorHAnsi"/>
          <w:sz w:val="22"/>
          <w:szCs w:val="22"/>
        </w:rPr>
        <w:t>and not work</w:t>
      </w:r>
      <w:r w:rsidR="003B774F" w:rsidRPr="008054B6">
        <w:rPr>
          <w:rFonts w:asciiTheme="minorHAnsi" w:hAnsiTheme="minorHAnsi"/>
          <w:sz w:val="22"/>
          <w:szCs w:val="22"/>
        </w:rPr>
        <w:t>.</w:t>
      </w:r>
      <w:r w:rsidR="00651FD0" w:rsidRPr="008054B6">
        <w:rPr>
          <w:rFonts w:asciiTheme="minorHAnsi" w:hAnsiTheme="minorHAnsi"/>
          <w:sz w:val="22"/>
          <w:szCs w:val="22"/>
        </w:rPr>
        <w:t xml:space="preserve">  Similarly, because some food needs were met, household members were free to seek extra income earning opportunities, as indicated by beneficiaries in Baidoa.</w:t>
      </w:r>
    </w:p>
    <w:p w14:paraId="3C18F71F" w14:textId="77777777" w:rsidR="00D6393F" w:rsidRPr="008054B6" w:rsidRDefault="00D6393F" w:rsidP="008054B6">
      <w:pPr>
        <w:pStyle w:val="yiv5386992270msonormal"/>
        <w:spacing w:before="0" w:beforeAutospacing="0" w:after="0" w:afterAutospacing="0"/>
        <w:rPr>
          <w:rFonts w:asciiTheme="minorHAnsi" w:hAnsiTheme="minorHAnsi"/>
          <w:sz w:val="22"/>
          <w:szCs w:val="22"/>
          <w:u w:val="single"/>
        </w:rPr>
      </w:pPr>
    </w:p>
    <w:p w14:paraId="7106DFEF" w14:textId="060535EB" w:rsidR="00D6393F" w:rsidRPr="008054B6" w:rsidRDefault="00D6393F"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u w:val="single"/>
        </w:rPr>
        <w:t>School Attendance</w:t>
      </w:r>
      <w:r w:rsidR="00651FD0" w:rsidRPr="008054B6">
        <w:rPr>
          <w:rFonts w:asciiTheme="minorHAnsi" w:hAnsiTheme="minorHAnsi"/>
          <w:sz w:val="22"/>
          <w:szCs w:val="22"/>
        </w:rPr>
        <w:t>:  In all three program locations, program beneficiaries indicated that they were able to continue to send their children to school, largely due to resources that were “freed up” during the voucher program.</w:t>
      </w:r>
    </w:p>
    <w:p w14:paraId="1ADF7282" w14:textId="77777777" w:rsidR="00D6393F" w:rsidRPr="008054B6" w:rsidRDefault="00D6393F" w:rsidP="008054B6">
      <w:pPr>
        <w:pStyle w:val="yiv5386992270msonormal"/>
        <w:spacing w:before="0" w:beforeAutospacing="0" w:after="0" w:afterAutospacing="0"/>
        <w:rPr>
          <w:rFonts w:asciiTheme="minorHAnsi" w:hAnsiTheme="minorHAnsi"/>
          <w:sz w:val="22"/>
          <w:szCs w:val="22"/>
          <w:u w:val="single"/>
        </w:rPr>
      </w:pPr>
    </w:p>
    <w:p w14:paraId="0938AA3D" w14:textId="61FAD35E" w:rsidR="00D6393F" w:rsidRPr="008054B6" w:rsidRDefault="00D6393F"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u w:val="single"/>
        </w:rPr>
        <w:t>Women in the household</w:t>
      </w:r>
      <w:r w:rsidR="003B774F" w:rsidRPr="008054B6">
        <w:rPr>
          <w:rFonts w:asciiTheme="minorHAnsi" w:hAnsiTheme="minorHAnsi"/>
          <w:sz w:val="22"/>
          <w:szCs w:val="22"/>
          <w:u w:val="single"/>
        </w:rPr>
        <w:t>:</w:t>
      </w:r>
      <w:r w:rsidR="003B774F" w:rsidRPr="008054B6">
        <w:rPr>
          <w:rFonts w:asciiTheme="minorHAnsi" w:hAnsiTheme="minorHAnsi"/>
          <w:sz w:val="22"/>
          <w:szCs w:val="22"/>
        </w:rPr>
        <w:t xml:space="preserve">  Women noted that their contribution to the household via the food voucher was recognized by other household members, including their husbands, which brought elevated appreciation</w:t>
      </w:r>
      <w:r w:rsidR="00AD5D70" w:rsidRPr="008054B6">
        <w:rPr>
          <w:rFonts w:asciiTheme="minorHAnsi" w:hAnsiTheme="minorHAnsi"/>
          <w:sz w:val="22"/>
          <w:szCs w:val="22"/>
        </w:rPr>
        <w:t xml:space="preserve"> and reduced tensions </w:t>
      </w:r>
      <w:r w:rsidR="00A30A09" w:rsidRPr="008054B6">
        <w:rPr>
          <w:rFonts w:asciiTheme="minorHAnsi" w:hAnsiTheme="minorHAnsi"/>
          <w:sz w:val="22"/>
          <w:szCs w:val="22"/>
        </w:rPr>
        <w:t>between</w:t>
      </w:r>
      <w:r w:rsidR="00AD5D70" w:rsidRPr="008054B6">
        <w:rPr>
          <w:rFonts w:asciiTheme="minorHAnsi" w:hAnsiTheme="minorHAnsi"/>
          <w:sz w:val="22"/>
          <w:szCs w:val="22"/>
        </w:rPr>
        <w:t xml:space="preserve"> spouses</w:t>
      </w:r>
      <w:r w:rsidR="003B774F" w:rsidRPr="008054B6">
        <w:rPr>
          <w:rFonts w:asciiTheme="minorHAnsi" w:hAnsiTheme="minorHAnsi"/>
          <w:sz w:val="22"/>
          <w:szCs w:val="22"/>
        </w:rPr>
        <w:t>, even if only for the duration of the voucher program.</w:t>
      </w:r>
      <w:r w:rsidR="00045B88" w:rsidRPr="008054B6">
        <w:rPr>
          <w:rFonts w:asciiTheme="minorHAnsi" w:hAnsiTheme="minorHAnsi"/>
          <w:sz w:val="22"/>
          <w:szCs w:val="22"/>
        </w:rPr>
        <w:t xml:space="preserve"> </w:t>
      </w:r>
      <w:r w:rsidR="00AD5D70" w:rsidRPr="008054B6">
        <w:rPr>
          <w:rFonts w:asciiTheme="minorHAnsi" w:hAnsiTheme="minorHAnsi"/>
          <w:sz w:val="22"/>
          <w:szCs w:val="22"/>
        </w:rPr>
        <w:t xml:space="preserve">As primary beneficiaries, women were perceived as bringing both financial and food resources into the home, a direct benefit to the household that reduced stress and labor pressure on all family members. </w:t>
      </w:r>
      <w:r w:rsidR="00045B88" w:rsidRPr="008054B6">
        <w:rPr>
          <w:rFonts w:asciiTheme="minorHAnsi" w:hAnsiTheme="minorHAnsi"/>
          <w:sz w:val="22"/>
          <w:szCs w:val="22"/>
        </w:rPr>
        <w:t xml:space="preserve">With the immediate burden of food access alleviated, women and girls (and children) were able to avoid hard and casual labor as a means of rapid-income earning.  </w:t>
      </w:r>
      <w:r w:rsidR="00AD5D70" w:rsidRPr="008054B6">
        <w:rPr>
          <w:rFonts w:asciiTheme="minorHAnsi" w:hAnsiTheme="minorHAnsi"/>
          <w:sz w:val="22"/>
          <w:szCs w:val="22"/>
        </w:rPr>
        <w:t>Given free time and more household capital, w</w:t>
      </w:r>
      <w:r w:rsidR="00045B88" w:rsidRPr="008054B6">
        <w:rPr>
          <w:rFonts w:asciiTheme="minorHAnsi" w:hAnsiTheme="minorHAnsi"/>
          <w:sz w:val="22"/>
          <w:szCs w:val="22"/>
        </w:rPr>
        <w:t xml:space="preserve">omen were able to </w:t>
      </w:r>
      <w:r w:rsidR="00651FD0" w:rsidRPr="008054B6">
        <w:rPr>
          <w:rFonts w:asciiTheme="minorHAnsi" w:hAnsiTheme="minorHAnsi"/>
          <w:sz w:val="22"/>
          <w:szCs w:val="22"/>
        </w:rPr>
        <w:t>pursue other forms of income earning such as weaving mats and petty trade</w:t>
      </w:r>
      <w:r w:rsidR="00AD5D70" w:rsidRPr="008054B6">
        <w:rPr>
          <w:rFonts w:asciiTheme="minorHAnsi" w:hAnsiTheme="minorHAnsi"/>
          <w:sz w:val="22"/>
          <w:szCs w:val="22"/>
        </w:rPr>
        <w:t>,</w:t>
      </w:r>
      <w:r w:rsidR="00651FD0" w:rsidRPr="008054B6">
        <w:rPr>
          <w:rFonts w:asciiTheme="minorHAnsi" w:hAnsiTheme="minorHAnsi"/>
          <w:sz w:val="22"/>
          <w:szCs w:val="22"/>
        </w:rPr>
        <w:t xml:space="preserve"> such as ice cream vending</w:t>
      </w:r>
      <w:r w:rsidR="00045B88" w:rsidRPr="008054B6">
        <w:rPr>
          <w:rFonts w:asciiTheme="minorHAnsi" w:hAnsiTheme="minorHAnsi"/>
          <w:sz w:val="22"/>
          <w:szCs w:val="22"/>
        </w:rPr>
        <w:t xml:space="preserve">, </w:t>
      </w:r>
      <w:r w:rsidR="00AD5D70" w:rsidRPr="008054B6">
        <w:rPr>
          <w:rFonts w:asciiTheme="minorHAnsi" w:hAnsiTheme="minorHAnsi"/>
          <w:sz w:val="22"/>
          <w:szCs w:val="22"/>
        </w:rPr>
        <w:t>while</w:t>
      </w:r>
      <w:r w:rsidR="00045B88" w:rsidRPr="008054B6">
        <w:rPr>
          <w:rFonts w:asciiTheme="minorHAnsi" w:hAnsiTheme="minorHAnsi"/>
          <w:sz w:val="22"/>
          <w:szCs w:val="22"/>
        </w:rPr>
        <w:t xml:space="preserve"> the labor burden on children was reduced</w:t>
      </w:r>
      <w:r w:rsidR="00651FD0" w:rsidRPr="008054B6">
        <w:rPr>
          <w:rFonts w:asciiTheme="minorHAnsi" w:hAnsiTheme="minorHAnsi"/>
          <w:sz w:val="22"/>
          <w:szCs w:val="22"/>
        </w:rPr>
        <w:t>.</w:t>
      </w:r>
    </w:p>
    <w:p w14:paraId="717A434F" w14:textId="77777777" w:rsidR="003B774F" w:rsidRPr="008054B6" w:rsidRDefault="003B774F" w:rsidP="008054B6">
      <w:pPr>
        <w:pStyle w:val="yiv5386992270msonormal"/>
        <w:spacing w:before="0" w:beforeAutospacing="0" w:after="0" w:afterAutospacing="0"/>
        <w:rPr>
          <w:rFonts w:asciiTheme="minorHAnsi" w:hAnsiTheme="minorHAnsi"/>
          <w:sz w:val="22"/>
          <w:szCs w:val="22"/>
          <w:u w:val="single"/>
        </w:rPr>
      </w:pPr>
    </w:p>
    <w:p w14:paraId="7A751147" w14:textId="551AC8D6" w:rsidR="003B774F" w:rsidRPr="008054B6" w:rsidRDefault="00775D8B"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u w:val="single"/>
        </w:rPr>
        <w:t>Protection and s</w:t>
      </w:r>
      <w:r w:rsidR="003B774F" w:rsidRPr="008054B6">
        <w:rPr>
          <w:rFonts w:asciiTheme="minorHAnsi" w:hAnsiTheme="minorHAnsi"/>
          <w:sz w:val="22"/>
          <w:szCs w:val="22"/>
          <w:u w:val="single"/>
        </w:rPr>
        <w:t>afety</w:t>
      </w:r>
      <w:r w:rsidR="003B774F" w:rsidRPr="008054B6">
        <w:rPr>
          <w:rFonts w:asciiTheme="minorHAnsi" w:hAnsiTheme="minorHAnsi"/>
          <w:sz w:val="22"/>
          <w:szCs w:val="22"/>
        </w:rPr>
        <w:t xml:space="preserve">:  Women noted that the addition of the voucher in their household livelihoods strategy had a positive effect in reducing both safety and health risks.  Some focus group members suggested that they were not compelled to do “indecent” </w:t>
      </w:r>
      <w:r w:rsidR="004208BB" w:rsidRPr="008054B6">
        <w:rPr>
          <w:rFonts w:asciiTheme="minorHAnsi" w:hAnsiTheme="minorHAnsi"/>
          <w:sz w:val="22"/>
          <w:szCs w:val="22"/>
        </w:rPr>
        <w:t xml:space="preserve">and exploitative </w:t>
      </w:r>
      <w:r w:rsidR="003B774F" w:rsidRPr="008054B6">
        <w:rPr>
          <w:rFonts w:asciiTheme="minorHAnsi" w:hAnsiTheme="minorHAnsi"/>
          <w:sz w:val="22"/>
          <w:szCs w:val="22"/>
        </w:rPr>
        <w:t>jobs in order to bring sufficient income for family food needs</w:t>
      </w:r>
      <w:r w:rsidR="00EA2DAF" w:rsidRPr="008054B6">
        <w:rPr>
          <w:rFonts w:asciiTheme="minorHAnsi" w:hAnsiTheme="minorHAnsi"/>
          <w:sz w:val="22"/>
          <w:szCs w:val="22"/>
        </w:rPr>
        <w:t>.</w:t>
      </w:r>
      <w:r w:rsidR="00A30A09" w:rsidRPr="008054B6">
        <w:rPr>
          <w:rStyle w:val="FootnoteReference"/>
          <w:rFonts w:asciiTheme="minorHAnsi" w:hAnsiTheme="minorHAnsi"/>
          <w:sz w:val="22"/>
          <w:szCs w:val="22"/>
        </w:rPr>
        <w:footnoteReference w:id="2"/>
      </w:r>
      <w:r w:rsidR="00EA2DAF" w:rsidRPr="008054B6">
        <w:rPr>
          <w:rFonts w:asciiTheme="minorHAnsi" w:hAnsiTheme="minorHAnsi"/>
          <w:sz w:val="22"/>
          <w:szCs w:val="22"/>
        </w:rPr>
        <w:t xml:space="preserve"> </w:t>
      </w:r>
      <w:r w:rsidR="003B774F" w:rsidRPr="008054B6">
        <w:rPr>
          <w:rFonts w:asciiTheme="minorHAnsi" w:hAnsiTheme="minorHAnsi"/>
          <w:b/>
          <w:sz w:val="22"/>
          <w:szCs w:val="22"/>
        </w:rPr>
        <w:t xml:space="preserve">Participants </w:t>
      </w:r>
      <w:r w:rsidR="000366AB" w:rsidRPr="008054B6">
        <w:rPr>
          <w:rFonts w:asciiTheme="minorHAnsi" w:hAnsiTheme="minorHAnsi"/>
          <w:b/>
          <w:sz w:val="22"/>
          <w:szCs w:val="22"/>
        </w:rPr>
        <w:t>reported</w:t>
      </w:r>
      <w:r w:rsidR="003B774F" w:rsidRPr="008054B6">
        <w:rPr>
          <w:rFonts w:asciiTheme="minorHAnsi" w:hAnsiTheme="minorHAnsi"/>
          <w:b/>
          <w:sz w:val="22"/>
          <w:szCs w:val="22"/>
        </w:rPr>
        <w:t xml:space="preserve"> that they were able to reduce the need to travel long distances alone or in the evening in search of work, thereby reducing </w:t>
      </w:r>
      <w:r w:rsidR="004208BB" w:rsidRPr="008054B6">
        <w:rPr>
          <w:rFonts w:asciiTheme="minorHAnsi" w:hAnsiTheme="minorHAnsi"/>
          <w:b/>
          <w:sz w:val="22"/>
          <w:szCs w:val="22"/>
        </w:rPr>
        <w:t xml:space="preserve">personal </w:t>
      </w:r>
      <w:r w:rsidR="003B774F" w:rsidRPr="008054B6">
        <w:rPr>
          <w:rFonts w:asciiTheme="minorHAnsi" w:hAnsiTheme="minorHAnsi"/>
          <w:b/>
          <w:sz w:val="22"/>
          <w:szCs w:val="22"/>
        </w:rPr>
        <w:t xml:space="preserve">safety </w:t>
      </w:r>
      <w:r w:rsidR="003B774F" w:rsidRPr="008054B6">
        <w:rPr>
          <w:rFonts w:asciiTheme="minorHAnsi" w:hAnsiTheme="minorHAnsi"/>
          <w:b/>
          <w:sz w:val="22"/>
          <w:szCs w:val="22"/>
        </w:rPr>
        <w:lastRenderedPageBreak/>
        <w:t>risks</w:t>
      </w:r>
      <w:r w:rsidR="003B774F" w:rsidRPr="008054B6">
        <w:rPr>
          <w:rFonts w:asciiTheme="minorHAnsi" w:hAnsiTheme="minorHAnsi"/>
          <w:sz w:val="22"/>
          <w:szCs w:val="22"/>
        </w:rPr>
        <w:t>.</w:t>
      </w:r>
      <w:r w:rsidR="00651FD0" w:rsidRPr="008054B6">
        <w:rPr>
          <w:rFonts w:asciiTheme="minorHAnsi" w:hAnsiTheme="minorHAnsi"/>
          <w:sz w:val="22"/>
          <w:szCs w:val="22"/>
        </w:rPr>
        <w:t xml:space="preserve">  Female beneficiaries also noted that income saved from the voucher program was allocated for other health and medical costs, as well as for supporting other vulnerable families </w:t>
      </w:r>
      <w:r w:rsidR="003269CD" w:rsidRPr="008054B6">
        <w:rPr>
          <w:rFonts w:asciiTheme="minorHAnsi" w:hAnsiTheme="minorHAnsi"/>
          <w:sz w:val="22"/>
          <w:szCs w:val="22"/>
        </w:rPr>
        <w:t>to meet</w:t>
      </w:r>
      <w:r w:rsidR="00651FD0" w:rsidRPr="008054B6">
        <w:rPr>
          <w:rFonts w:asciiTheme="minorHAnsi" w:hAnsiTheme="minorHAnsi"/>
          <w:sz w:val="22"/>
          <w:szCs w:val="22"/>
        </w:rPr>
        <w:t xml:space="preserve"> basic needs.</w:t>
      </w:r>
      <w:r w:rsidR="007C614A" w:rsidRPr="008054B6">
        <w:rPr>
          <w:rFonts w:asciiTheme="minorHAnsi" w:hAnsiTheme="minorHAnsi"/>
          <w:sz w:val="22"/>
          <w:szCs w:val="22"/>
        </w:rPr>
        <w:t xml:space="preserve"> </w:t>
      </w:r>
    </w:p>
    <w:p w14:paraId="05EEF66D" w14:textId="77777777" w:rsidR="00651FD0" w:rsidRPr="008054B6" w:rsidRDefault="00651FD0" w:rsidP="008054B6">
      <w:pPr>
        <w:pStyle w:val="yiv5386992270msonormal"/>
        <w:spacing w:before="0" w:beforeAutospacing="0" w:after="0" w:afterAutospacing="0"/>
        <w:rPr>
          <w:rFonts w:asciiTheme="minorHAnsi" w:hAnsiTheme="minorHAnsi"/>
          <w:sz w:val="22"/>
          <w:szCs w:val="22"/>
        </w:rPr>
      </w:pPr>
    </w:p>
    <w:p w14:paraId="3B7057A4" w14:textId="6D3BCBD0" w:rsidR="00651FD0" w:rsidRPr="008054B6" w:rsidRDefault="00651FD0" w:rsidP="008054B6">
      <w:pPr>
        <w:spacing w:after="0" w:line="240" w:lineRule="auto"/>
        <w:contextualSpacing/>
        <w:rPr>
          <w:rFonts w:cs="Times New Roman"/>
        </w:rPr>
      </w:pPr>
      <w:r w:rsidRPr="008054B6">
        <w:rPr>
          <w:rFonts w:cs="Times New Roman"/>
          <w:u w:val="single"/>
        </w:rPr>
        <w:t>Debt reduction</w:t>
      </w:r>
      <w:r w:rsidRPr="008054B6">
        <w:rPr>
          <w:rFonts w:cs="Times New Roman"/>
        </w:rPr>
        <w:t xml:space="preserve">:  Households unanimously reported a positive impact of the voucher program on seasonal debt, reporting that no new debts were acquired during the voucher program, and that they were able to allocate a third of their saved income to repaying existing debts (Mogadishu focus groups). </w:t>
      </w:r>
      <w:r w:rsidR="003269CD" w:rsidRPr="008054B6">
        <w:rPr>
          <w:rFonts w:cs="Times New Roman"/>
          <w:b/>
        </w:rPr>
        <w:t>In Mogadishu, the study found that the average IDP/host household debt decreased from $143 to $73 over the course of the program, a 49 percent reduction in value.</w:t>
      </w:r>
      <w:r w:rsidR="003269CD" w:rsidRPr="008054B6">
        <w:rPr>
          <w:rFonts w:cs="Times New Roman"/>
        </w:rPr>
        <w:t xml:space="preserve"> Typically</w:t>
      </w:r>
      <w:r w:rsidRPr="008054B6">
        <w:rPr>
          <w:rFonts w:cs="Times New Roman"/>
        </w:rPr>
        <w:t>, debt is acquired due to failure to pay school fees, for medical emergencies, and to meet food needs; therefore, the voucher alleviated some financial pressure for households with debt.</w:t>
      </w:r>
      <w:r w:rsidR="003269CD" w:rsidRPr="008054B6">
        <w:rPr>
          <w:rFonts w:cs="Times New Roman"/>
        </w:rPr>
        <w:t xml:space="preserve">  Participants also noted that the ability to pay more debt during the voucher program </w:t>
      </w:r>
      <w:r w:rsidR="004208BB" w:rsidRPr="008054B6">
        <w:rPr>
          <w:rFonts w:cs="Times New Roman"/>
        </w:rPr>
        <w:t xml:space="preserve">reduced the inevitability of </w:t>
      </w:r>
      <w:r w:rsidR="003269CD" w:rsidRPr="008054B6">
        <w:rPr>
          <w:rFonts w:cs="Times New Roman"/>
        </w:rPr>
        <w:t>future negative coping strategies such as sending children to domestic servitude, marrying out of financial necessity, and borrowing from family members.</w:t>
      </w:r>
    </w:p>
    <w:p w14:paraId="2FC9BB87" w14:textId="77777777" w:rsidR="00D6393F" w:rsidRPr="008054B6" w:rsidRDefault="00D6393F" w:rsidP="008054B6">
      <w:pPr>
        <w:pStyle w:val="yiv5386992270msonormal"/>
        <w:spacing w:before="0" w:beforeAutospacing="0" w:after="0" w:afterAutospacing="0"/>
        <w:rPr>
          <w:rFonts w:asciiTheme="minorHAnsi" w:hAnsiTheme="minorHAnsi"/>
          <w:sz w:val="22"/>
          <w:szCs w:val="22"/>
          <w:u w:val="single"/>
        </w:rPr>
      </w:pPr>
    </w:p>
    <w:p w14:paraId="2DCE815B" w14:textId="77777777" w:rsidR="00097EF7" w:rsidRPr="008054B6" w:rsidRDefault="00C96E14" w:rsidP="008054B6">
      <w:pPr>
        <w:pStyle w:val="yiv5386992270msonormal"/>
        <w:spacing w:before="0" w:beforeAutospacing="0" w:after="0" w:afterAutospacing="0"/>
        <w:rPr>
          <w:rFonts w:asciiTheme="minorHAnsi" w:hAnsiTheme="minorHAnsi"/>
          <w:i/>
          <w:sz w:val="22"/>
          <w:szCs w:val="22"/>
        </w:rPr>
      </w:pPr>
      <w:r w:rsidRPr="008054B6">
        <w:rPr>
          <w:rFonts w:asciiTheme="minorHAnsi" w:hAnsiTheme="minorHAnsi"/>
          <w:i/>
          <w:sz w:val="22"/>
          <w:szCs w:val="22"/>
        </w:rPr>
        <w:t>Community Cohesion</w:t>
      </w:r>
    </w:p>
    <w:p w14:paraId="10071C98" w14:textId="2715BB1D" w:rsidR="00097EF7" w:rsidRPr="008054B6" w:rsidRDefault="00097EF7" w:rsidP="008054B6">
      <w:pPr>
        <w:pStyle w:val="yiv5386992270msonormal"/>
        <w:spacing w:before="0" w:beforeAutospacing="0" w:after="0" w:afterAutospacing="0"/>
        <w:rPr>
          <w:rFonts w:asciiTheme="minorHAnsi" w:eastAsiaTheme="minorHAnsi" w:hAnsiTheme="minorHAnsi" w:cstheme="minorBidi"/>
          <w:i/>
          <w:noProof/>
          <w:sz w:val="22"/>
          <w:szCs w:val="22"/>
        </w:rPr>
      </w:pPr>
      <w:r w:rsidRPr="008054B6">
        <w:rPr>
          <w:rFonts w:asciiTheme="minorHAnsi" w:hAnsiTheme="minorHAnsi"/>
          <w:sz w:val="22"/>
          <w:szCs w:val="22"/>
          <w:u w:val="single"/>
        </w:rPr>
        <w:t>Community Conflict Mitigation</w:t>
      </w:r>
      <w:r w:rsidR="0076034A" w:rsidRPr="008054B6">
        <w:rPr>
          <w:rFonts w:asciiTheme="minorHAnsi" w:hAnsiTheme="minorHAnsi"/>
          <w:sz w:val="22"/>
          <w:szCs w:val="22"/>
        </w:rPr>
        <w:t>:</w:t>
      </w:r>
      <w:r w:rsidR="004D1B1F" w:rsidRPr="008054B6">
        <w:rPr>
          <w:rFonts w:asciiTheme="minorHAnsi" w:hAnsiTheme="minorHAnsi"/>
          <w:sz w:val="22"/>
          <w:szCs w:val="22"/>
        </w:rPr>
        <w:t xml:space="preserve">  Community stakeholders and beneficiaries from both IDP and host family populations noted that the implementation of the voucher program for vulnerable households in both groups created a renewed sense of solidarity, smoothing out existing tensions over limited resources.  In Kismayo town, IDP populations were either returnees or new arrivals, and had a “weaker voice” compared to the host community, in terms of mobilization for support and representation in local affairs.  IDP households noted that participation of IDP</w:t>
      </w:r>
      <w:r w:rsidR="00D31892" w:rsidRPr="008054B6">
        <w:rPr>
          <w:rFonts w:asciiTheme="minorHAnsi" w:hAnsiTheme="minorHAnsi"/>
          <w:sz w:val="22"/>
          <w:szCs w:val="22"/>
        </w:rPr>
        <w:t>s</w:t>
      </w:r>
      <w:r w:rsidR="004D1B1F" w:rsidRPr="008054B6">
        <w:rPr>
          <w:rFonts w:asciiTheme="minorHAnsi" w:hAnsiTheme="minorHAnsi"/>
          <w:sz w:val="22"/>
          <w:szCs w:val="22"/>
        </w:rPr>
        <w:t xml:space="preserve"> in the project allowed their clan elders and camp committees to provide them with equal opportunity, and a sense of empowerment.  Similarly, host communities viewed previous assistance to IDPs as unfair and unbalanced; therefore, inclusion of host families allowed for less resentment between the two populations. VRC representatives echoed this important element, suggesting that equal inclusion of both groups had a soothing effect on community relationships, especially in Baidoa and Mogadishu.</w:t>
      </w:r>
      <w:r w:rsidR="003F65B9" w:rsidRPr="008054B6">
        <w:rPr>
          <w:rFonts w:asciiTheme="minorHAnsi" w:eastAsiaTheme="minorHAnsi" w:hAnsiTheme="minorHAnsi" w:cstheme="minorBidi"/>
          <w:i/>
          <w:noProof/>
          <w:sz w:val="22"/>
          <w:szCs w:val="22"/>
        </w:rPr>
        <w:t xml:space="preserve"> </w:t>
      </w:r>
    </w:p>
    <w:p w14:paraId="077CEAAD" w14:textId="309AC870" w:rsidR="003332CC" w:rsidRPr="008054B6" w:rsidRDefault="003332CC" w:rsidP="008054B6">
      <w:pPr>
        <w:pStyle w:val="yiv5386992270msonormal"/>
        <w:spacing w:before="0" w:beforeAutospacing="0" w:after="0" w:afterAutospacing="0"/>
        <w:rPr>
          <w:rFonts w:asciiTheme="minorHAnsi" w:hAnsiTheme="minorHAnsi"/>
          <w:sz w:val="22"/>
          <w:szCs w:val="22"/>
        </w:rPr>
      </w:pPr>
    </w:p>
    <w:p w14:paraId="0CCB442B" w14:textId="48B22EB5" w:rsidR="0076034A" w:rsidRPr="008054B6" w:rsidRDefault="0076034A" w:rsidP="008054B6">
      <w:pPr>
        <w:pStyle w:val="yiv5386992270msonormal"/>
        <w:spacing w:before="0" w:beforeAutospacing="0" w:after="0" w:afterAutospacing="0"/>
        <w:rPr>
          <w:rFonts w:asciiTheme="minorHAnsi" w:hAnsiTheme="minorHAnsi"/>
          <w:sz w:val="22"/>
          <w:szCs w:val="22"/>
        </w:rPr>
      </w:pPr>
      <w:r w:rsidRPr="008054B6">
        <w:rPr>
          <w:rFonts w:asciiTheme="minorHAnsi" w:hAnsiTheme="minorHAnsi"/>
          <w:sz w:val="22"/>
          <w:szCs w:val="22"/>
          <w:u w:val="single"/>
        </w:rPr>
        <w:t>V</w:t>
      </w:r>
      <w:r w:rsidR="00D31892" w:rsidRPr="008054B6">
        <w:rPr>
          <w:rFonts w:asciiTheme="minorHAnsi" w:hAnsiTheme="minorHAnsi"/>
          <w:sz w:val="22"/>
          <w:szCs w:val="22"/>
          <w:u w:val="single"/>
        </w:rPr>
        <w:t>illage</w:t>
      </w:r>
      <w:r w:rsidRPr="008054B6">
        <w:rPr>
          <w:rFonts w:asciiTheme="minorHAnsi" w:hAnsiTheme="minorHAnsi"/>
          <w:sz w:val="22"/>
          <w:szCs w:val="22"/>
          <w:u w:val="single"/>
        </w:rPr>
        <w:t xml:space="preserve"> Relief Committee Support</w:t>
      </w:r>
      <w:r w:rsidR="004D1B1F" w:rsidRPr="008054B6">
        <w:rPr>
          <w:rFonts w:asciiTheme="minorHAnsi" w:hAnsiTheme="minorHAnsi"/>
          <w:sz w:val="22"/>
          <w:szCs w:val="22"/>
        </w:rPr>
        <w:t xml:space="preserve">:  Engagement of the VRC encouraged stakeholder collaboration, as the members of the VRC were able to reach into various </w:t>
      </w:r>
      <w:r w:rsidR="0032797A" w:rsidRPr="008054B6">
        <w:rPr>
          <w:rFonts w:asciiTheme="minorHAnsi" w:hAnsiTheme="minorHAnsi"/>
          <w:sz w:val="22"/>
          <w:szCs w:val="22"/>
        </w:rPr>
        <w:t>institutional and clan-based leadership to garner support for the voucher program.  Engagement of the community through the voucher program has resulted in VRCs becoming the “go-to” source for beneficiaries and information to support government inquiries and humanitarian programming</w:t>
      </w:r>
      <w:r w:rsidR="004208BB" w:rsidRPr="008054B6">
        <w:rPr>
          <w:rFonts w:asciiTheme="minorHAnsi" w:hAnsiTheme="minorHAnsi"/>
          <w:sz w:val="22"/>
          <w:szCs w:val="22"/>
        </w:rPr>
        <w:t>, earning a trusted status in the community and with the government</w:t>
      </w:r>
      <w:r w:rsidR="0032797A" w:rsidRPr="008054B6">
        <w:rPr>
          <w:rFonts w:asciiTheme="minorHAnsi" w:hAnsiTheme="minorHAnsi"/>
          <w:sz w:val="22"/>
          <w:szCs w:val="22"/>
        </w:rPr>
        <w:t xml:space="preserve">. </w:t>
      </w:r>
    </w:p>
    <w:p w14:paraId="5B9AF24B" w14:textId="3D0847FB" w:rsidR="000E2B98" w:rsidRPr="008054B6" w:rsidRDefault="008054B6" w:rsidP="008054B6">
      <w:pPr>
        <w:pStyle w:val="yiv5386992270msonormal"/>
        <w:spacing w:before="0" w:beforeAutospacing="0" w:after="0" w:afterAutospacing="0"/>
        <w:rPr>
          <w:rFonts w:asciiTheme="minorHAnsi" w:hAnsiTheme="minorHAnsi"/>
          <w:sz w:val="22"/>
          <w:szCs w:val="22"/>
          <w:u w:val="single"/>
        </w:rPr>
      </w:pPr>
      <w:r w:rsidRPr="008054B6">
        <w:rPr>
          <w:rFonts w:asciiTheme="minorHAnsi" w:eastAsiaTheme="minorHAnsi" w:hAnsiTheme="minorHAnsi" w:cstheme="minorBidi"/>
          <w:i/>
          <w:noProof/>
          <w:sz w:val="22"/>
          <w:szCs w:val="22"/>
          <w:lang w:bidi="ne-NP"/>
        </w:rPr>
        <mc:AlternateContent>
          <mc:Choice Requires="wps">
            <w:drawing>
              <wp:anchor distT="0" distB="0" distL="114300" distR="114300" simplePos="0" relativeHeight="251671040" behindDoc="0" locked="0" layoutInCell="1" allowOverlap="1" wp14:anchorId="6422D534" wp14:editId="78BBAB96">
                <wp:simplePos x="0" y="0"/>
                <wp:positionH relativeFrom="margin">
                  <wp:posOffset>-43180</wp:posOffset>
                </wp:positionH>
                <wp:positionV relativeFrom="paragraph">
                  <wp:posOffset>127635</wp:posOffset>
                </wp:positionV>
                <wp:extent cx="6315075" cy="6477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6315075" cy="647700"/>
                        </a:xfrm>
                        <a:prstGeom prst="rect">
                          <a:avLst/>
                        </a:prstGeom>
                        <a:solidFill>
                          <a:schemeClr val="accent1">
                            <a:lumMod val="20000"/>
                            <a:lumOff val="80000"/>
                          </a:schemeClr>
                        </a:solidFill>
                        <a:ln w="38100" cmpd="dbl">
                          <a:noFill/>
                        </a:ln>
                        <a:effectLst/>
                      </wps:spPr>
                      <wps:txbx>
                        <w:txbxContent>
                          <w:p w14:paraId="3B44E705" w14:textId="201F718E" w:rsidR="00F45600" w:rsidRPr="003F65B9" w:rsidRDefault="00F45600" w:rsidP="008054B6">
                            <w:pPr>
                              <w:shd w:val="clear" w:color="auto" w:fill="DEEAF6" w:themeFill="accent1" w:themeFillTint="33"/>
                              <w:jc w:val="both"/>
                              <w:rPr>
                                <w:b/>
                                <w:i/>
                                <w:sz w:val="20"/>
                                <w:szCs w:val="20"/>
                              </w:rPr>
                            </w:pPr>
                            <w:r w:rsidRPr="003F65B9">
                              <w:rPr>
                                <w:rFonts w:ascii="Times New Roman" w:hAnsi="Times New Roman" w:cs="Times New Roman"/>
                                <w:b/>
                                <w:i/>
                                <w:sz w:val="20"/>
                                <w:szCs w:val="20"/>
                              </w:rPr>
                              <w:t xml:space="preserve">I have observed that since the food voucher project started, the well-known beggars mostly IDPs at Baidoa city have </w:t>
                            </w:r>
                            <w:r>
                              <w:rPr>
                                <w:rFonts w:ascii="Times New Roman" w:hAnsi="Times New Roman" w:cs="Times New Roman"/>
                                <w:b/>
                                <w:i/>
                                <w:sz w:val="20"/>
                                <w:szCs w:val="20"/>
                              </w:rPr>
                              <w:t>decreased</w:t>
                            </w:r>
                            <w:r w:rsidRPr="003F65B9">
                              <w:rPr>
                                <w:rFonts w:ascii="Times New Roman" w:hAnsi="Times New Roman" w:cs="Times New Roman"/>
                                <w:b/>
                                <w:i/>
                                <w:sz w:val="20"/>
                                <w:szCs w:val="20"/>
                              </w:rPr>
                              <w:t>. We also have a better relationship with the host community now</w:t>
                            </w:r>
                            <w:r>
                              <w:rPr>
                                <w:rFonts w:ascii="Times New Roman" w:hAnsi="Times New Roman" w:cs="Times New Roman"/>
                                <w:b/>
                                <w:i/>
                                <w:sz w:val="20"/>
                                <w:szCs w:val="20"/>
                              </w:rPr>
                              <w:t>,</w:t>
                            </w:r>
                            <w:r w:rsidRPr="003F65B9">
                              <w:rPr>
                                <w:rFonts w:ascii="Times New Roman" w:hAnsi="Times New Roman" w:cs="Times New Roman"/>
                                <w:b/>
                                <w:i/>
                                <w:sz w:val="20"/>
                                <w:szCs w:val="20"/>
                              </w:rPr>
                              <w:t xml:space="preserve"> because the burden and the expectation of the host community to cater for the IDPs needs </w:t>
                            </w:r>
                            <w:r>
                              <w:rPr>
                                <w:rFonts w:ascii="Times New Roman" w:hAnsi="Times New Roman" w:cs="Times New Roman"/>
                                <w:b/>
                                <w:i/>
                                <w:sz w:val="20"/>
                                <w:szCs w:val="20"/>
                              </w:rPr>
                              <w:t>has been greatly reduced</w:t>
                            </w:r>
                            <w:r w:rsidRPr="003F65B9">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3F65B9">
                              <w:rPr>
                                <w:rFonts w:ascii="Times New Roman" w:hAnsi="Times New Roman" w:cs="Times New Roman"/>
                                <w:i/>
                                <w:sz w:val="20"/>
                                <w:szCs w:val="20"/>
                              </w:rPr>
                              <w:t>IDP, Baidoa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2D534" id="Text Box 11" o:spid="_x0000_s1028" type="#_x0000_t202" style="position:absolute;margin-left:-3.4pt;margin-top:10.05pt;width:497.25pt;height:5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" fillcolor="#deeaf6 [660]" stroked="f" strokeweight="3pt">
                <v:stroke linestyle="thinThin"/>
                <v:textbox>
                  <w:txbxContent>
                    <w:p w14:paraId="3B44E705" w14:textId="201F718E" w:rsidR="00F45600" w:rsidRPr="003F65B9" w:rsidRDefault="00F45600" w:rsidP="008054B6">
                      <w:pPr>
                        <w:shd w:val="clear" w:color="auto" w:fill="DEEAF6" w:themeFill="accent1" w:themeFillTint="33"/>
                        <w:jc w:val="both"/>
                        <w:rPr>
                          <w:b/>
                          <w:i/>
                          <w:sz w:val="20"/>
                          <w:szCs w:val="20"/>
                        </w:rPr>
                      </w:pPr>
                      <w:r w:rsidRPr="003F65B9">
                        <w:rPr>
                          <w:rFonts w:ascii="Times New Roman" w:hAnsi="Times New Roman" w:cs="Times New Roman"/>
                          <w:b/>
                          <w:i/>
                          <w:sz w:val="20"/>
                          <w:szCs w:val="20"/>
                        </w:rPr>
                        <w:t xml:space="preserve">I have observed that since the food voucher project started, the well-known beggars mostly IDPs at </w:t>
                      </w:r>
                      <w:proofErr w:type="spellStart"/>
                      <w:r w:rsidRPr="003F65B9">
                        <w:rPr>
                          <w:rFonts w:ascii="Times New Roman" w:hAnsi="Times New Roman" w:cs="Times New Roman"/>
                          <w:b/>
                          <w:i/>
                          <w:sz w:val="20"/>
                          <w:szCs w:val="20"/>
                        </w:rPr>
                        <w:t>Baidoa</w:t>
                      </w:r>
                      <w:proofErr w:type="spellEnd"/>
                      <w:r w:rsidRPr="003F65B9">
                        <w:rPr>
                          <w:rFonts w:ascii="Times New Roman" w:hAnsi="Times New Roman" w:cs="Times New Roman"/>
                          <w:b/>
                          <w:i/>
                          <w:sz w:val="20"/>
                          <w:szCs w:val="20"/>
                        </w:rPr>
                        <w:t xml:space="preserve"> city have </w:t>
                      </w:r>
                      <w:r>
                        <w:rPr>
                          <w:rFonts w:ascii="Times New Roman" w:hAnsi="Times New Roman" w:cs="Times New Roman"/>
                          <w:b/>
                          <w:i/>
                          <w:sz w:val="20"/>
                          <w:szCs w:val="20"/>
                        </w:rPr>
                        <w:t>decreased</w:t>
                      </w:r>
                      <w:r w:rsidRPr="003F65B9">
                        <w:rPr>
                          <w:rFonts w:ascii="Times New Roman" w:hAnsi="Times New Roman" w:cs="Times New Roman"/>
                          <w:b/>
                          <w:i/>
                          <w:sz w:val="20"/>
                          <w:szCs w:val="20"/>
                        </w:rPr>
                        <w:t>. We also have a better relationship with the host community now</w:t>
                      </w:r>
                      <w:r>
                        <w:rPr>
                          <w:rFonts w:ascii="Times New Roman" w:hAnsi="Times New Roman" w:cs="Times New Roman"/>
                          <w:b/>
                          <w:i/>
                          <w:sz w:val="20"/>
                          <w:szCs w:val="20"/>
                        </w:rPr>
                        <w:t>,</w:t>
                      </w:r>
                      <w:r w:rsidRPr="003F65B9">
                        <w:rPr>
                          <w:rFonts w:ascii="Times New Roman" w:hAnsi="Times New Roman" w:cs="Times New Roman"/>
                          <w:b/>
                          <w:i/>
                          <w:sz w:val="20"/>
                          <w:szCs w:val="20"/>
                        </w:rPr>
                        <w:t xml:space="preserve"> because the burden and the expectation of the host community to cater for the IDPs needs </w:t>
                      </w:r>
                      <w:r>
                        <w:rPr>
                          <w:rFonts w:ascii="Times New Roman" w:hAnsi="Times New Roman" w:cs="Times New Roman"/>
                          <w:b/>
                          <w:i/>
                          <w:sz w:val="20"/>
                          <w:szCs w:val="20"/>
                        </w:rPr>
                        <w:t>has been greatly reduced</w:t>
                      </w:r>
                      <w:r w:rsidRPr="003F65B9">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3F65B9">
                        <w:rPr>
                          <w:rFonts w:ascii="Times New Roman" w:hAnsi="Times New Roman" w:cs="Times New Roman"/>
                          <w:i/>
                          <w:sz w:val="20"/>
                          <w:szCs w:val="20"/>
                        </w:rPr>
                        <w:t xml:space="preserve">IDP, </w:t>
                      </w:r>
                      <w:proofErr w:type="spellStart"/>
                      <w:r w:rsidRPr="003F65B9">
                        <w:rPr>
                          <w:rFonts w:ascii="Times New Roman" w:hAnsi="Times New Roman" w:cs="Times New Roman"/>
                          <w:i/>
                          <w:sz w:val="20"/>
                          <w:szCs w:val="20"/>
                        </w:rPr>
                        <w:t>Baidoa</w:t>
                      </w:r>
                      <w:proofErr w:type="spellEnd"/>
                    </w:p>
                  </w:txbxContent>
                </v:textbox>
                <w10:wrap type="square" anchorx="margin"/>
              </v:shape>
            </w:pict>
          </mc:Fallback>
        </mc:AlternateContent>
      </w:r>
    </w:p>
    <w:p w14:paraId="0A3B8B72" w14:textId="21BC0CB9" w:rsidR="00C96E14" w:rsidRPr="008054B6" w:rsidRDefault="0032797A" w:rsidP="008054B6">
      <w:pPr>
        <w:pStyle w:val="yiv5386992270msonormal"/>
        <w:spacing w:before="0" w:beforeAutospacing="0" w:after="0" w:afterAutospacing="0"/>
        <w:rPr>
          <w:rFonts w:asciiTheme="minorHAnsi" w:hAnsiTheme="minorHAnsi"/>
          <w:i/>
          <w:sz w:val="22"/>
          <w:szCs w:val="22"/>
        </w:rPr>
      </w:pPr>
      <w:r w:rsidRPr="008054B6">
        <w:rPr>
          <w:rFonts w:asciiTheme="minorHAnsi" w:hAnsiTheme="minorHAnsi"/>
          <w:sz w:val="22"/>
          <w:szCs w:val="22"/>
          <w:u w:val="single"/>
        </w:rPr>
        <w:t>Reinforced Community Solidarity and Safety Nets</w:t>
      </w:r>
      <w:r w:rsidRPr="008054B6">
        <w:rPr>
          <w:rFonts w:asciiTheme="minorHAnsi" w:hAnsiTheme="minorHAnsi"/>
          <w:sz w:val="22"/>
          <w:szCs w:val="22"/>
        </w:rPr>
        <w:t xml:space="preserve">:  The voucher program had a far wider impact on community food security than anticipated, largely due to the traditional sharing practices, which guide households to share their resources with other households in need.  </w:t>
      </w:r>
      <w:r w:rsidRPr="008054B6">
        <w:rPr>
          <w:rFonts w:asciiTheme="minorHAnsi" w:hAnsiTheme="minorHAnsi"/>
          <w:b/>
          <w:sz w:val="22"/>
          <w:szCs w:val="22"/>
        </w:rPr>
        <w:t>Focus groups in Mogadishu suggested that</w:t>
      </w:r>
      <w:r w:rsidR="003332CC" w:rsidRPr="008054B6">
        <w:rPr>
          <w:rFonts w:asciiTheme="minorHAnsi" w:hAnsiTheme="minorHAnsi"/>
          <w:b/>
          <w:sz w:val="22"/>
          <w:szCs w:val="22"/>
        </w:rPr>
        <w:t xml:space="preserve"> food assistance recipients</w:t>
      </w:r>
      <w:r w:rsidRPr="008054B6">
        <w:rPr>
          <w:rFonts w:asciiTheme="minorHAnsi" w:hAnsiTheme="minorHAnsi"/>
          <w:b/>
          <w:sz w:val="22"/>
          <w:szCs w:val="22"/>
        </w:rPr>
        <w:t xml:space="preserve"> gave up to one quarter of their food assistance to other vulnerable households in their community in keeping with local and clan-based solidarity customs.  </w:t>
      </w:r>
      <w:r w:rsidRPr="008054B6">
        <w:rPr>
          <w:rFonts w:asciiTheme="minorHAnsi" w:hAnsiTheme="minorHAnsi"/>
          <w:sz w:val="22"/>
          <w:szCs w:val="22"/>
        </w:rPr>
        <w:t xml:space="preserve">The voucher program therefore mitigated acute food insecurity for other families who were not formally beneficiaries of food assistance delivered by CRS. </w:t>
      </w:r>
      <w:r w:rsidR="008054B6">
        <w:rPr>
          <w:rFonts w:asciiTheme="minorHAnsi" w:hAnsiTheme="minorHAnsi"/>
          <w:sz w:val="22"/>
          <w:szCs w:val="22"/>
        </w:rPr>
        <w:br/>
      </w:r>
    </w:p>
    <w:p w14:paraId="12E6D39C" w14:textId="77777777" w:rsidR="00AA1842" w:rsidRDefault="00AA1842" w:rsidP="008054B6">
      <w:pPr>
        <w:spacing w:after="0" w:line="240" w:lineRule="auto"/>
        <w:ind w:left="990"/>
        <w:rPr>
          <w:rFonts w:eastAsia="Times New Roman" w:cs="Times New Roman"/>
        </w:rPr>
      </w:pPr>
    </w:p>
    <w:p w14:paraId="4DD617C9" w14:textId="77777777" w:rsidR="00E05BB5" w:rsidRDefault="00E05BB5" w:rsidP="008054B6">
      <w:pPr>
        <w:spacing w:after="0" w:line="240" w:lineRule="auto"/>
        <w:ind w:left="990"/>
        <w:rPr>
          <w:rFonts w:eastAsia="Times New Roman" w:cs="Times New Roman"/>
        </w:rPr>
      </w:pPr>
    </w:p>
    <w:p w14:paraId="295B6851" w14:textId="77777777" w:rsidR="00E05BB5" w:rsidRPr="008054B6" w:rsidRDefault="00E05BB5" w:rsidP="008054B6">
      <w:pPr>
        <w:spacing w:after="0" w:line="240" w:lineRule="auto"/>
        <w:ind w:left="990"/>
        <w:rPr>
          <w:rFonts w:eastAsia="Times New Roman" w:cs="Times New Roman"/>
        </w:rPr>
      </w:pPr>
    </w:p>
    <w:p w14:paraId="52B28158" w14:textId="77777777" w:rsidR="008054B6" w:rsidRPr="008054B6" w:rsidRDefault="008054B6" w:rsidP="008054B6">
      <w:pPr>
        <w:spacing w:after="0" w:line="240" w:lineRule="auto"/>
        <w:rPr>
          <w:rFonts w:cs="Times New Roman"/>
          <w:b/>
          <w:color w:val="0070C0"/>
          <w:sz w:val="36"/>
        </w:rPr>
      </w:pPr>
      <w:r w:rsidRPr="008054B6">
        <w:rPr>
          <w:rFonts w:cs="Times New Roman"/>
          <w:b/>
          <w:color w:val="0070C0"/>
          <w:sz w:val="36"/>
        </w:rPr>
        <w:t>KEY LEARNING AND CONSIDERATIONS</w:t>
      </w:r>
    </w:p>
    <w:p w14:paraId="45368FBC" w14:textId="4960CD98" w:rsidR="00941FC5" w:rsidRPr="008054B6" w:rsidRDefault="008054B6" w:rsidP="008054B6">
      <w:pPr>
        <w:spacing w:after="0" w:line="240" w:lineRule="auto"/>
        <w:rPr>
          <w:rFonts w:cs="Times New Roman"/>
        </w:rPr>
      </w:pPr>
      <w:r>
        <w:rPr>
          <w:rFonts w:cs="Times New Roman"/>
        </w:rPr>
        <w:br/>
      </w:r>
      <w:r w:rsidR="00941FC5" w:rsidRPr="008054B6">
        <w:rPr>
          <w:rFonts w:cs="Times New Roman"/>
        </w:rPr>
        <w:t>Overall, the urban voucher program is an effective and adaptable approach to meeting crucial food security needs for vulnerable households, while offering a wider benefit to the local community, market landscape, and individual household economies.  The implementation of the voucher approach in</w:t>
      </w:r>
      <w:r w:rsidR="00F864C6" w:rsidRPr="008054B6">
        <w:rPr>
          <w:rFonts w:cs="Times New Roman"/>
        </w:rPr>
        <w:t xml:space="preserve"> the context of urban</w:t>
      </w:r>
      <w:r w:rsidR="00941FC5" w:rsidRPr="008054B6">
        <w:rPr>
          <w:rFonts w:cs="Times New Roman"/>
        </w:rPr>
        <w:t xml:space="preserve"> Somalia yielded key learning points </w:t>
      </w:r>
      <w:r w:rsidR="00907EA8" w:rsidRPr="008054B6">
        <w:rPr>
          <w:rFonts w:cs="Times New Roman"/>
        </w:rPr>
        <w:t>and</w:t>
      </w:r>
      <w:r w:rsidR="00941FC5" w:rsidRPr="008054B6">
        <w:rPr>
          <w:rFonts w:cs="Times New Roman"/>
        </w:rPr>
        <w:t xml:space="preserve"> presents several considerations for future programming.  The following considerations can be used to inform future replications of voucher and cash-based food assistance programs in other urban settings, with careful appraisal of the local context</w:t>
      </w:r>
      <w:r w:rsidR="00F864C6" w:rsidRPr="008054B6">
        <w:rPr>
          <w:rFonts w:cs="Times New Roman"/>
        </w:rPr>
        <w:t>, particularly security and market function</w:t>
      </w:r>
      <w:r w:rsidR="00941FC5" w:rsidRPr="008054B6">
        <w:rPr>
          <w:rFonts w:cs="Times New Roman"/>
        </w:rPr>
        <w:t>.  Some of the most salient points, organized by the original case study research</w:t>
      </w:r>
      <w:r w:rsidR="00F864C6" w:rsidRPr="008054B6">
        <w:rPr>
          <w:rFonts w:cs="Times New Roman"/>
        </w:rPr>
        <w:t xml:space="preserve"> themes</w:t>
      </w:r>
      <w:r w:rsidR="00941FC5" w:rsidRPr="008054B6">
        <w:rPr>
          <w:rFonts w:cs="Times New Roman"/>
        </w:rPr>
        <w:t>, include:</w:t>
      </w:r>
    </w:p>
    <w:p w14:paraId="23C64BE8" w14:textId="77777777" w:rsidR="00F864C6" w:rsidRPr="008054B6" w:rsidRDefault="00F864C6" w:rsidP="008054B6">
      <w:pPr>
        <w:spacing w:after="0" w:line="240" w:lineRule="auto"/>
        <w:rPr>
          <w:rFonts w:cs="Times New Roman"/>
        </w:rPr>
      </w:pPr>
    </w:p>
    <w:p w14:paraId="0C2A4F5A" w14:textId="35B6F178" w:rsidR="00941FC5" w:rsidRPr="008054B6" w:rsidRDefault="00907EA8" w:rsidP="008054B6">
      <w:pPr>
        <w:pStyle w:val="yiv5386992270msonormal"/>
        <w:shd w:val="clear" w:color="auto" w:fill="DEEAF6" w:themeFill="accent1" w:themeFillTint="33"/>
        <w:spacing w:before="0" w:beforeAutospacing="0" w:after="0" w:afterAutospacing="0"/>
        <w:rPr>
          <w:rFonts w:asciiTheme="minorHAnsi" w:hAnsiTheme="minorHAnsi"/>
          <w:b/>
          <w:i/>
          <w:szCs w:val="22"/>
        </w:rPr>
      </w:pPr>
      <w:r w:rsidRPr="008054B6">
        <w:rPr>
          <w:rFonts w:asciiTheme="minorHAnsi" w:hAnsiTheme="minorHAnsi"/>
          <w:b/>
          <w:i/>
          <w:szCs w:val="22"/>
          <w:shd w:val="clear" w:color="auto" w:fill="DEEAF6" w:themeFill="accent1" w:themeFillTint="33"/>
        </w:rPr>
        <w:t>Addressing programmatic assumptions for future urban cash-based programming</w:t>
      </w:r>
    </w:p>
    <w:p w14:paraId="7D425144" w14:textId="77777777" w:rsidR="00941FC5" w:rsidRPr="008054B6" w:rsidRDefault="00941FC5" w:rsidP="008054B6">
      <w:pPr>
        <w:pStyle w:val="yiv5386992270msonormal"/>
        <w:spacing w:before="0" w:beforeAutospacing="0" w:after="0" w:afterAutospacing="0"/>
        <w:rPr>
          <w:rFonts w:asciiTheme="minorHAnsi" w:hAnsiTheme="minorHAnsi"/>
          <w:b/>
          <w:i/>
          <w:sz w:val="22"/>
          <w:szCs w:val="22"/>
        </w:rPr>
      </w:pPr>
    </w:p>
    <w:p w14:paraId="229D5364" w14:textId="348C91AD" w:rsidR="00941FC5" w:rsidRPr="008054B6" w:rsidRDefault="00941FC5" w:rsidP="008054B6">
      <w:pPr>
        <w:spacing w:after="0" w:line="240" w:lineRule="auto"/>
        <w:rPr>
          <w:rFonts w:cs="Times New Roman"/>
          <w:iCs/>
        </w:rPr>
      </w:pPr>
      <w:r w:rsidRPr="008054B6">
        <w:rPr>
          <w:rFonts w:cs="Times New Roman"/>
          <w:b/>
        </w:rPr>
        <w:t>Where literacy, vendor financial management capacity, and logistics are constraints</w:t>
      </w:r>
      <w:r w:rsidRPr="008054B6">
        <w:rPr>
          <w:rFonts w:cs="Times New Roman"/>
        </w:rPr>
        <w:t xml:space="preserve">, </w:t>
      </w:r>
      <w:r w:rsidRPr="008054B6">
        <w:rPr>
          <w:rFonts w:cs="Times New Roman"/>
          <w:b/>
        </w:rPr>
        <w:t xml:space="preserve">unconditional, restricted vouchers (or possibly cash, where feasible) may be appropriate modalities for food assistance. </w:t>
      </w:r>
      <w:r w:rsidRPr="008054B6">
        <w:rPr>
          <w:rFonts w:cs="Times New Roman"/>
        </w:rPr>
        <w:t xml:space="preserve"> Given the scope and scale of the project, combined with low literacy rates, vendor capacity and market conditions, and the security context, CRS recommends unconditional, restricted vouchers rather than unrestricted voucher mechanisms for emergency food assistance to urban populations.  Unconditional, restricted vouchers offer choice for beneficiaries in selecting food proportions appropriate for their household while reducing security risks to vendors and implementing partners, and streamlining the administrative process.  Clear voucher redemption cycles also help distribute beneficiaries across vendors, thus enabling markets to respond to demand, while also reducing crowds. While unrestricted vouchers allow for more beneficiary choice in food commodity purchases, administrative monitoring, quality control, vendor training and capacity building, as well as transparency are key obstacles to timely implementation of cash-based food programs in </w:t>
      </w:r>
      <w:r w:rsidR="00F864C6" w:rsidRPr="008054B6">
        <w:rPr>
          <w:rFonts w:cs="Times New Roman"/>
        </w:rPr>
        <w:t xml:space="preserve">an insecure  or conflict-prone </w:t>
      </w:r>
      <w:r w:rsidRPr="008054B6">
        <w:rPr>
          <w:rFonts w:cs="Times New Roman"/>
        </w:rPr>
        <w:t xml:space="preserve">urban context. As learned in the early stages of the Kismayo program, unconditional and unrestricted vouchers are inappropriate for a volatile security context where vendors lack capacity to meet administrative and financial demands.  </w:t>
      </w:r>
      <w:r w:rsidRPr="008054B6">
        <w:rPr>
          <w:rFonts w:cs="Times New Roman"/>
          <w:iCs/>
        </w:rPr>
        <w:t xml:space="preserve">Having a predetermined set of goods allowed CRS and its partners to reach a large number of beneficiaries, and to monitor and control the quality, quantity, and price of goods sold from the vendors to the beneficiaries.  </w:t>
      </w:r>
    </w:p>
    <w:p w14:paraId="7434A4A5" w14:textId="77777777" w:rsidR="00941FC5" w:rsidRPr="008054B6" w:rsidRDefault="00941FC5" w:rsidP="008054B6">
      <w:pPr>
        <w:pStyle w:val="yiv5386992270msonormal"/>
        <w:spacing w:before="0" w:beforeAutospacing="0" w:after="0" w:afterAutospacing="0"/>
        <w:rPr>
          <w:rFonts w:asciiTheme="minorHAnsi" w:hAnsiTheme="minorHAnsi"/>
          <w:b/>
          <w:i/>
          <w:sz w:val="22"/>
          <w:szCs w:val="22"/>
        </w:rPr>
      </w:pPr>
    </w:p>
    <w:p w14:paraId="073BA478" w14:textId="77777777" w:rsidR="00941FC5" w:rsidRPr="008054B6" w:rsidRDefault="00941FC5" w:rsidP="008054B6">
      <w:pPr>
        <w:spacing w:after="0" w:line="240" w:lineRule="auto"/>
        <w:rPr>
          <w:rFonts w:cs="Times New Roman"/>
        </w:rPr>
      </w:pPr>
      <w:r w:rsidRPr="008054B6">
        <w:rPr>
          <w:rFonts w:cs="Times New Roman"/>
        </w:rPr>
        <w:t>Unconditional, unrestricted vouchers also introduces multiple “moving parts” which are difficult to track in a highly insecure operational context such as Somalia.  Unrestricted vouchers may be more appropriate for urban markets where conflict and security is not a concern, and where allowances for capacity and cyclical redemption processes can be more flexible and less time-bound to secure periods.  Vendor literacy and ability to meet the reporting and documentation requirements of the voucher program may be specific to the urban environment in Somalia; however, care should be given to incorporating these constraints in other settings and voucher transfer systems should be adjusted accordingly to minimize the risk of corruption and delays in the delivery of assistance.</w:t>
      </w:r>
    </w:p>
    <w:p w14:paraId="162143D2" w14:textId="77777777" w:rsidR="00941FC5" w:rsidRPr="008054B6" w:rsidRDefault="00941FC5" w:rsidP="008054B6">
      <w:pPr>
        <w:spacing w:after="0" w:line="240" w:lineRule="auto"/>
        <w:rPr>
          <w:rFonts w:cs="Times New Roman"/>
        </w:rPr>
      </w:pPr>
    </w:p>
    <w:p w14:paraId="020ABCFC" w14:textId="72B870D9" w:rsidR="00941FC5" w:rsidRPr="008054B6" w:rsidRDefault="00941FC5" w:rsidP="008054B6">
      <w:pPr>
        <w:spacing w:after="0" w:line="240" w:lineRule="auto"/>
        <w:rPr>
          <w:rFonts w:cs="Times New Roman"/>
        </w:rPr>
      </w:pPr>
      <w:r w:rsidRPr="008054B6">
        <w:rPr>
          <w:rFonts w:cs="Times New Roman"/>
        </w:rPr>
        <w:t xml:space="preserve">As evidenced by other programs in Somalia, cash may also be appropriate in such a context.  Cash is a consideration in areas where beneficiary targeting is </w:t>
      </w:r>
      <w:r w:rsidR="00F864C6" w:rsidRPr="008054B6">
        <w:rPr>
          <w:rFonts w:cs="Times New Roman"/>
        </w:rPr>
        <w:t>thorough and accurate,</w:t>
      </w:r>
      <w:r w:rsidRPr="008054B6">
        <w:rPr>
          <w:rFonts w:cs="Times New Roman"/>
        </w:rPr>
        <w:t xml:space="preserve"> and where cash can be delivered safely.</w:t>
      </w:r>
      <w:r w:rsidR="00907EA8" w:rsidRPr="008054B6">
        <w:rPr>
          <w:rFonts w:cs="Times New Roman"/>
        </w:rPr>
        <w:t xml:space="preserve">  W</w:t>
      </w:r>
      <w:r w:rsidRPr="008054B6">
        <w:rPr>
          <w:rFonts w:cs="Times New Roman"/>
        </w:rPr>
        <w:t>ith continued support from CRS as well as their own new learnings from links to the formal banking sector, vendors will have financial and managerial capacity to better implement voucher and other cash-based programs; thus, the modality may be able to shift to a less restricted option.</w:t>
      </w:r>
    </w:p>
    <w:p w14:paraId="1506D806" w14:textId="77777777" w:rsidR="00907EA8" w:rsidRPr="008054B6" w:rsidRDefault="00907EA8" w:rsidP="008054B6">
      <w:pPr>
        <w:spacing w:after="0" w:line="240" w:lineRule="auto"/>
        <w:rPr>
          <w:rFonts w:cs="Times New Roman"/>
        </w:rPr>
      </w:pPr>
    </w:p>
    <w:p w14:paraId="38ECEDBA" w14:textId="7183DDA5" w:rsidR="005B1098" w:rsidRPr="008054B6" w:rsidRDefault="005B1098" w:rsidP="008054B6">
      <w:pPr>
        <w:spacing w:after="0" w:line="240" w:lineRule="auto"/>
        <w:rPr>
          <w:rFonts w:cs="Times New Roman"/>
        </w:rPr>
      </w:pPr>
      <w:r w:rsidRPr="008054B6">
        <w:rPr>
          <w:rFonts w:cs="Times New Roman"/>
          <w:b/>
        </w:rPr>
        <w:t>Security risk can be reduced by adjusting voucher distribution and redemption cycles according to the context.</w:t>
      </w:r>
      <w:r w:rsidRPr="008054B6">
        <w:rPr>
          <w:rFonts w:cs="Times New Roman"/>
        </w:rPr>
        <w:t xml:space="preserve">  Programs should avoid the risk of crowding and unrest or frustration within the proximity of project offices or vendor locations through the incorporation of well communicated and established time periods for the collection of and use of vouchers.  CRS implemented a 10-day cycle, allocating five days for the collection of vouchers from a designated area, and five days for use of vouchers in assigned vendor locations to reduce the risk of crowd formation</w:t>
      </w:r>
      <w:r w:rsidR="00173884" w:rsidRPr="008054B6">
        <w:rPr>
          <w:rFonts w:cs="Times New Roman"/>
        </w:rPr>
        <w:t xml:space="preserve">.  Crowd formation could lead to larger scale </w:t>
      </w:r>
      <w:r w:rsidRPr="008054B6">
        <w:rPr>
          <w:rFonts w:cs="Times New Roman"/>
        </w:rPr>
        <w:t>misunderstanding of the program, community unrest, and risk of theft or pressure on vendors. Voucher distribution and redemption cycles should be determined according to the context.</w:t>
      </w:r>
    </w:p>
    <w:p w14:paraId="0EE62D32" w14:textId="77777777" w:rsidR="00907EA8" w:rsidRPr="008054B6" w:rsidRDefault="00907EA8" w:rsidP="008054B6">
      <w:pPr>
        <w:spacing w:after="0" w:line="240" w:lineRule="auto"/>
        <w:rPr>
          <w:rFonts w:cs="Times New Roman"/>
        </w:rPr>
      </w:pPr>
    </w:p>
    <w:p w14:paraId="279391A8" w14:textId="77777777" w:rsidR="00907EA8" w:rsidRPr="008054B6" w:rsidRDefault="00907EA8" w:rsidP="008054B6">
      <w:pPr>
        <w:pStyle w:val="CommentText"/>
        <w:spacing w:after="0"/>
        <w:rPr>
          <w:rFonts w:cs="Times New Roman"/>
          <w:sz w:val="22"/>
          <w:szCs w:val="22"/>
        </w:rPr>
      </w:pPr>
      <w:r w:rsidRPr="008054B6">
        <w:rPr>
          <w:rFonts w:cs="Times New Roman"/>
          <w:b/>
          <w:sz w:val="22"/>
          <w:szCs w:val="22"/>
        </w:rPr>
        <w:t xml:space="preserve">Constant and carefully messaged outreach and sensitization of non-beneficiaries is crucial to maintain stability in the implementation area.  </w:t>
      </w:r>
      <w:r w:rsidRPr="008054B6">
        <w:rPr>
          <w:rFonts w:cs="Times New Roman"/>
          <w:sz w:val="22"/>
          <w:szCs w:val="22"/>
        </w:rPr>
        <w:t>In the context of Somalia, the potential for escalation of conflict into a high-risk and dangerous implementation zone is directly tied to community stability and mitigation of tensions over perceived inequities in the delivery of food assistance. CRS staff note that despite early outreach and messaging, non-recipient households became angry with the lack of assistance and directed anger and aggression towards staff through the course of program implementation.  While adequate messaging and outreach may be considered a ‘best practice’ in all humanitarian programming, and especially cash programming, care should be given to maintaining consistent, constant, and accurate messaging about selection criteria, resource availability, prioritization of assistance, and recognition of need at the community level.  Regular and repeated transmission of these messages will reduce misunderstanding and resentment among potentially volatile and aggressive populations.</w:t>
      </w:r>
    </w:p>
    <w:p w14:paraId="5D08E2AD" w14:textId="77777777" w:rsidR="005B1098" w:rsidRPr="008054B6" w:rsidRDefault="005B1098" w:rsidP="008054B6">
      <w:pPr>
        <w:spacing w:after="0" w:line="240" w:lineRule="auto"/>
        <w:rPr>
          <w:rFonts w:cs="Times New Roman"/>
        </w:rPr>
      </w:pPr>
    </w:p>
    <w:p w14:paraId="11FCB3A3" w14:textId="01895522" w:rsidR="00907EA8" w:rsidRPr="008054B6" w:rsidRDefault="00907EA8" w:rsidP="008054B6">
      <w:pPr>
        <w:pStyle w:val="CommentText"/>
        <w:spacing w:after="0"/>
        <w:rPr>
          <w:rFonts w:cs="Times New Roman"/>
          <w:sz w:val="22"/>
          <w:szCs w:val="22"/>
        </w:rPr>
      </w:pPr>
      <w:r w:rsidRPr="008054B6">
        <w:rPr>
          <w:rFonts w:cs="Times New Roman"/>
          <w:b/>
          <w:sz w:val="22"/>
          <w:szCs w:val="22"/>
        </w:rPr>
        <w:t>Extremely vulnerable populations (EVI) may require additional logistical support for the voucher redemption process.</w:t>
      </w:r>
      <w:r w:rsidRPr="008054B6">
        <w:rPr>
          <w:rFonts w:cs="Times New Roman"/>
          <w:sz w:val="22"/>
          <w:szCs w:val="22"/>
        </w:rPr>
        <w:t xml:space="preserve">  While the project beneficiary targeting criteria successfully identified extremely vulnerable individuals for food assistance, feedback from the community indicated that the elderly, the sick, and the disabled or otherwise incapacitated should not have to wait in line for extended periods or navigate the logistics of taking their food basket to their home. Future programs should consider special accommodations for these vulnerable groups to avoid undue physical and mental stress or increased security risk during the voucher redemption process</w:t>
      </w:r>
      <w:r w:rsidR="00B92944" w:rsidRPr="008054B6">
        <w:rPr>
          <w:rFonts w:cs="Times New Roman"/>
          <w:sz w:val="22"/>
          <w:szCs w:val="22"/>
        </w:rPr>
        <w:t xml:space="preserve"> and the transportation of purchased food items</w:t>
      </w:r>
      <w:r w:rsidRPr="008054B6">
        <w:rPr>
          <w:rFonts w:cs="Times New Roman"/>
          <w:sz w:val="22"/>
          <w:szCs w:val="22"/>
        </w:rPr>
        <w:t>.</w:t>
      </w:r>
    </w:p>
    <w:p w14:paraId="2684340E" w14:textId="77777777" w:rsidR="00907EA8" w:rsidRPr="008054B6" w:rsidRDefault="00907EA8" w:rsidP="008054B6">
      <w:pPr>
        <w:pStyle w:val="CommentText"/>
        <w:spacing w:after="0"/>
        <w:rPr>
          <w:rFonts w:cs="Times New Roman"/>
          <w:sz w:val="22"/>
          <w:szCs w:val="22"/>
        </w:rPr>
      </w:pPr>
      <w:r w:rsidRPr="008054B6">
        <w:rPr>
          <w:rFonts w:cs="Times New Roman"/>
          <w:sz w:val="22"/>
          <w:szCs w:val="22"/>
        </w:rPr>
        <w:t xml:space="preserve"> </w:t>
      </w:r>
    </w:p>
    <w:p w14:paraId="38CDCDA2" w14:textId="77777777" w:rsidR="00907EA8" w:rsidRPr="008054B6" w:rsidRDefault="00907EA8" w:rsidP="008054B6">
      <w:pPr>
        <w:spacing w:after="0" w:line="240" w:lineRule="auto"/>
        <w:rPr>
          <w:rFonts w:cs="Times New Roman"/>
        </w:rPr>
      </w:pPr>
      <w:r w:rsidRPr="008054B6">
        <w:rPr>
          <w:rFonts w:cs="Times New Roman"/>
          <w:b/>
        </w:rPr>
        <w:t xml:space="preserve">Beneficiary preferences should be reflected in food baskets.  </w:t>
      </w:r>
      <w:r w:rsidRPr="008054B6">
        <w:rPr>
          <w:rFonts w:cs="Times New Roman"/>
        </w:rPr>
        <w:t>When considering the components of food baskets in a pre-determined voucher mechanism, care should be given to surveying local households to assure that preferences and traditional food options are reflected in the selected commodities.  In the case of urban Somalia, beneficiaries expressed preference for imported staple goods such as pasta and sugar, which were incorporated into food baskets. However, they also purchased fresh foods with money saved.  The advantage of delivering food baskets that include in-demand staples over direct distribution is the removal of logistical burdens in an insecure market and transportation environment which could cause comparative delays in the delivery of assistance, where vouchers did not appear to have this impact, and allowed for immediate household access.  Additionally, the “under-the-radar” approach to reducing visibility allowed by voucher programs could be considered a risk-reducing approach when compared to higher-visibility distributions and large scale procurement efforts from local and regional markets, especially in the context of Somalia.</w:t>
      </w:r>
    </w:p>
    <w:p w14:paraId="11953CE9" w14:textId="77777777" w:rsidR="00941FC5" w:rsidRPr="008054B6" w:rsidRDefault="00941FC5" w:rsidP="008054B6">
      <w:pPr>
        <w:pStyle w:val="yiv5386992270msonormal"/>
        <w:spacing w:before="0" w:beforeAutospacing="0" w:after="0" w:afterAutospacing="0"/>
        <w:ind w:firstLine="360"/>
        <w:rPr>
          <w:rFonts w:asciiTheme="minorHAnsi" w:hAnsiTheme="minorHAnsi"/>
          <w:b/>
          <w:i/>
          <w:sz w:val="22"/>
          <w:szCs w:val="22"/>
        </w:rPr>
      </w:pPr>
    </w:p>
    <w:p w14:paraId="254E6540" w14:textId="36814B79" w:rsidR="00941FC5" w:rsidRPr="008054B6" w:rsidRDefault="00907EA8" w:rsidP="008054B6">
      <w:pPr>
        <w:pStyle w:val="yiv5386992270msonormal"/>
        <w:shd w:val="clear" w:color="auto" w:fill="DEEAF6" w:themeFill="accent1" w:themeFillTint="33"/>
        <w:spacing w:before="0" w:beforeAutospacing="0" w:after="0" w:afterAutospacing="0"/>
        <w:rPr>
          <w:rFonts w:asciiTheme="minorHAnsi" w:hAnsiTheme="minorHAnsi"/>
          <w:b/>
          <w:i/>
          <w:szCs w:val="22"/>
        </w:rPr>
      </w:pPr>
      <w:r w:rsidRPr="008054B6">
        <w:rPr>
          <w:rFonts w:asciiTheme="minorHAnsi" w:hAnsiTheme="minorHAnsi"/>
          <w:b/>
          <w:i/>
          <w:szCs w:val="22"/>
        </w:rPr>
        <w:t xml:space="preserve">Tracking and measuring </w:t>
      </w:r>
      <w:r w:rsidR="00941FC5" w:rsidRPr="008054B6">
        <w:rPr>
          <w:rFonts w:asciiTheme="minorHAnsi" w:hAnsiTheme="minorHAnsi"/>
          <w:b/>
          <w:i/>
          <w:szCs w:val="22"/>
        </w:rPr>
        <w:t xml:space="preserve">unanticipated economic and social impacts of </w:t>
      </w:r>
      <w:r w:rsidRPr="008054B6">
        <w:rPr>
          <w:rFonts w:asciiTheme="minorHAnsi" w:hAnsiTheme="minorHAnsi"/>
          <w:b/>
          <w:i/>
          <w:szCs w:val="22"/>
        </w:rPr>
        <w:t>urban cash-based food assistance initiatives</w:t>
      </w:r>
    </w:p>
    <w:p w14:paraId="4CBC5E65" w14:textId="77777777" w:rsidR="00941FC5" w:rsidRPr="008054B6" w:rsidRDefault="00941FC5" w:rsidP="008054B6">
      <w:pPr>
        <w:spacing w:after="0" w:line="240" w:lineRule="auto"/>
        <w:rPr>
          <w:rFonts w:cs="Times New Roman"/>
        </w:rPr>
      </w:pPr>
    </w:p>
    <w:p w14:paraId="30217181" w14:textId="2861816D" w:rsidR="003B3C59" w:rsidRPr="008054B6" w:rsidRDefault="003B3C59" w:rsidP="008054B6">
      <w:pPr>
        <w:spacing w:after="0" w:line="240" w:lineRule="auto"/>
        <w:rPr>
          <w:rFonts w:cs="Times New Roman"/>
        </w:rPr>
      </w:pPr>
      <w:r w:rsidRPr="008054B6">
        <w:rPr>
          <w:rFonts w:cs="Times New Roman"/>
          <w:b/>
        </w:rPr>
        <w:lastRenderedPageBreak/>
        <w:t>A</w:t>
      </w:r>
      <w:r w:rsidR="006E08D6" w:rsidRPr="008054B6">
        <w:rPr>
          <w:rFonts w:cs="Times New Roman"/>
          <w:b/>
        </w:rPr>
        <w:t>ctors should a</w:t>
      </w:r>
      <w:r w:rsidRPr="008054B6">
        <w:rPr>
          <w:rFonts w:cs="Times New Roman"/>
          <w:b/>
        </w:rPr>
        <w:t>nticipate community safety net and social solidarity systems in targeting and voucher allocations.</w:t>
      </w:r>
      <w:r w:rsidRPr="008054B6">
        <w:rPr>
          <w:rFonts w:cs="Times New Roman"/>
        </w:rPr>
        <w:t xml:space="preserve">  In all project sites, households frequently shared their food assistance with family, friends, and/or vulnerable community members</w:t>
      </w:r>
      <w:r w:rsidR="00E5354C" w:rsidRPr="008054B6">
        <w:rPr>
          <w:rFonts w:cs="Times New Roman"/>
        </w:rPr>
        <w:t>.</w:t>
      </w:r>
      <w:r w:rsidRPr="008054B6">
        <w:rPr>
          <w:rFonts w:cs="Times New Roman"/>
        </w:rPr>
        <w:t xml:space="preserve">  Community solidarity practices should be considered in the final determination of the voucher amount and use, to assure that food assistance is sufficient for households who may engage in these practices.  Understanding and negotiating expected contributions of assistance from beneficiaries within their communities could affect the impact of food assistance.</w:t>
      </w:r>
    </w:p>
    <w:p w14:paraId="53BCE251" w14:textId="77777777" w:rsidR="00E3797D" w:rsidRPr="008054B6" w:rsidRDefault="00E3797D" w:rsidP="008054B6">
      <w:pPr>
        <w:spacing w:after="0" w:line="240" w:lineRule="auto"/>
        <w:rPr>
          <w:rFonts w:cs="Times New Roman"/>
        </w:rPr>
      </w:pPr>
    </w:p>
    <w:p w14:paraId="15CB5C47" w14:textId="1AD9E22A" w:rsidR="001C2C21" w:rsidRPr="008054B6" w:rsidRDefault="00DA0F86" w:rsidP="008054B6">
      <w:pPr>
        <w:spacing w:after="0" w:line="240" w:lineRule="auto"/>
        <w:rPr>
          <w:rFonts w:cs="Times New Roman"/>
        </w:rPr>
      </w:pPr>
      <w:r w:rsidRPr="008054B6">
        <w:rPr>
          <w:rFonts w:cs="Times New Roman"/>
          <w:b/>
        </w:rPr>
        <w:t xml:space="preserve">Program monitoring systems should </w:t>
      </w:r>
      <w:r w:rsidR="001C2C21" w:rsidRPr="008054B6">
        <w:rPr>
          <w:rFonts w:cs="Times New Roman"/>
          <w:b/>
        </w:rPr>
        <w:t xml:space="preserve">consider including </w:t>
      </w:r>
      <w:r w:rsidR="0011399F" w:rsidRPr="008054B6">
        <w:rPr>
          <w:rFonts w:cs="Times New Roman"/>
          <w:b/>
        </w:rPr>
        <w:t xml:space="preserve">the </w:t>
      </w:r>
      <w:r w:rsidRPr="008054B6">
        <w:rPr>
          <w:rFonts w:cs="Times New Roman"/>
          <w:b/>
        </w:rPr>
        <w:t>wider “ripple effects” of vouchers on households, market actors, and the community at large.</w:t>
      </w:r>
      <w:r w:rsidR="00A56F23" w:rsidRPr="008054B6">
        <w:rPr>
          <w:rFonts w:cs="Times New Roman"/>
          <w:b/>
        </w:rPr>
        <w:t xml:space="preserve">  </w:t>
      </w:r>
      <w:r w:rsidR="00D7394A" w:rsidRPr="008054B6">
        <w:rPr>
          <w:rFonts w:cs="Times New Roman"/>
        </w:rPr>
        <w:t xml:space="preserve">Given the demonstrated ripple effect of </w:t>
      </w:r>
      <w:r w:rsidR="00A56F23" w:rsidRPr="008054B6">
        <w:rPr>
          <w:rFonts w:cs="Times New Roman"/>
        </w:rPr>
        <w:t>a cash-based program</w:t>
      </w:r>
      <w:r w:rsidR="00D7394A" w:rsidRPr="008054B6">
        <w:rPr>
          <w:rFonts w:cs="Times New Roman"/>
        </w:rPr>
        <w:t xml:space="preserve"> on household dynamics, local economic actors, and community relationships, </w:t>
      </w:r>
      <w:r w:rsidR="00A56F23" w:rsidRPr="008054B6">
        <w:rPr>
          <w:rFonts w:cs="Times New Roman"/>
        </w:rPr>
        <w:t>program</w:t>
      </w:r>
      <w:r w:rsidR="0011399F" w:rsidRPr="008054B6">
        <w:rPr>
          <w:rFonts w:cs="Times New Roman"/>
        </w:rPr>
        <w:t xml:space="preserve"> </w:t>
      </w:r>
      <w:r w:rsidR="00A56F23" w:rsidRPr="008054B6">
        <w:rPr>
          <w:rFonts w:cs="Times New Roman"/>
        </w:rPr>
        <w:t xml:space="preserve">monitoring </w:t>
      </w:r>
      <w:r w:rsidR="0011399F" w:rsidRPr="008054B6">
        <w:rPr>
          <w:rFonts w:cs="Times New Roman"/>
        </w:rPr>
        <w:t xml:space="preserve">can capture the </w:t>
      </w:r>
      <w:r w:rsidR="00A56F23" w:rsidRPr="008054B6">
        <w:rPr>
          <w:rFonts w:cs="Times New Roman"/>
        </w:rPr>
        <w:t>broader</w:t>
      </w:r>
      <w:r w:rsidR="0011399F" w:rsidRPr="008054B6">
        <w:rPr>
          <w:rFonts w:cs="Times New Roman"/>
        </w:rPr>
        <w:t xml:space="preserve"> impacts of vouchers by </w:t>
      </w:r>
      <w:r w:rsidR="00D7394A" w:rsidRPr="008054B6">
        <w:rPr>
          <w:rFonts w:cs="Times New Roman"/>
        </w:rPr>
        <w:t>measur</w:t>
      </w:r>
      <w:r w:rsidR="0011399F" w:rsidRPr="008054B6">
        <w:rPr>
          <w:rFonts w:cs="Times New Roman"/>
        </w:rPr>
        <w:t>ing</w:t>
      </w:r>
      <w:r w:rsidR="00D7394A" w:rsidRPr="008054B6">
        <w:rPr>
          <w:rFonts w:cs="Times New Roman"/>
        </w:rPr>
        <w:t xml:space="preserve"> outcomes that extend beyond food security.  </w:t>
      </w:r>
      <w:r w:rsidR="00DA7029" w:rsidRPr="008054B6">
        <w:rPr>
          <w:rFonts w:cs="Times New Roman"/>
        </w:rPr>
        <w:t>For example,</w:t>
      </w:r>
      <w:r w:rsidR="0011399F" w:rsidRPr="008054B6">
        <w:rPr>
          <w:rFonts w:cs="Times New Roman"/>
        </w:rPr>
        <w:t xml:space="preserve"> where feasible, monitoring could include any of the following: </w:t>
      </w:r>
    </w:p>
    <w:p w14:paraId="2935DFF3" w14:textId="0A40AF45" w:rsidR="001C2C21" w:rsidRPr="008054B6" w:rsidRDefault="00DA7029" w:rsidP="008054B6">
      <w:pPr>
        <w:pStyle w:val="ListParagraph"/>
        <w:numPr>
          <w:ilvl w:val="0"/>
          <w:numId w:val="43"/>
        </w:numPr>
        <w:spacing w:after="0" w:line="240" w:lineRule="auto"/>
        <w:rPr>
          <w:rFonts w:cs="Times New Roman"/>
        </w:rPr>
      </w:pPr>
      <w:r w:rsidRPr="008054B6">
        <w:rPr>
          <w:rFonts w:cs="Times New Roman"/>
        </w:rPr>
        <w:t>tracking school attendance</w:t>
      </w:r>
      <w:r w:rsidR="0022753F" w:rsidRPr="008054B6">
        <w:rPr>
          <w:rFonts w:cs="Times New Roman"/>
        </w:rPr>
        <w:t xml:space="preserve"> rates during voucher programs;</w:t>
      </w:r>
    </w:p>
    <w:p w14:paraId="4B85B806" w14:textId="3AFBE60F" w:rsidR="001C2C21" w:rsidRPr="008054B6" w:rsidRDefault="00DA7029" w:rsidP="008054B6">
      <w:pPr>
        <w:pStyle w:val="ListParagraph"/>
        <w:numPr>
          <w:ilvl w:val="0"/>
          <w:numId w:val="43"/>
        </w:numPr>
        <w:spacing w:after="0" w:line="240" w:lineRule="auto"/>
        <w:rPr>
          <w:rFonts w:cs="Times New Roman"/>
        </w:rPr>
      </w:pPr>
      <w:r w:rsidRPr="008054B6">
        <w:rPr>
          <w:rFonts w:cs="Times New Roman"/>
        </w:rPr>
        <w:t>obtaining real-time financial data from households</w:t>
      </w:r>
      <w:r w:rsidR="003B3C59" w:rsidRPr="008054B6">
        <w:rPr>
          <w:rFonts w:cs="Times New Roman"/>
        </w:rPr>
        <w:t xml:space="preserve"> (use of extra income)</w:t>
      </w:r>
      <w:r w:rsidRPr="008054B6">
        <w:rPr>
          <w:rFonts w:cs="Times New Roman"/>
        </w:rPr>
        <w:t xml:space="preserve"> and vendors</w:t>
      </w:r>
      <w:r w:rsidR="0022753F" w:rsidRPr="008054B6">
        <w:rPr>
          <w:rFonts w:cs="Times New Roman"/>
        </w:rPr>
        <w:t>;</w:t>
      </w:r>
      <w:r w:rsidRPr="008054B6">
        <w:rPr>
          <w:rFonts w:cs="Times New Roman"/>
        </w:rPr>
        <w:t xml:space="preserve"> </w:t>
      </w:r>
    </w:p>
    <w:p w14:paraId="44342294" w14:textId="0FE5534D" w:rsidR="001C2C21" w:rsidRPr="008054B6" w:rsidRDefault="001C2C21" w:rsidP="008054B6">
      <w:pPr>
        <w:pStyle w:val="ListParagraph"/>
        <w:numPr>
          <w:ilvl w:val="0"/>
          <w:numId w:val="43"/>
        </w:numPr>
        <w:spacing w:after="0" w:line="240" w:lineRule="auto"/>
        <w:rPr>
          <w:rFonts w:cs="Times New Roman"/>
        </w:rPr>
      </w:pPr>
      <w:r w:rsidRPr="008054B6">
        <w:rPr>
          <w:rFonts w:cs="Times New Roman"/>
        </w:rPr>
        <w:t xml:space="preserve">tracing </w:t>
      </w:r>
      <w:r w:rsidR="00DA7029" w:rsidRPr="008054B6">
        <w:rPr>
          <w:rFonts w:cs="Times New Roman"/>
        </w:rPr>
        <w:t xml:space="preserve">tertiary market actor activity </w:t>
      </w:r>
      <w:r w:rsidR="0022753F" w:rsidRPr="008054B6">
        <w:rPr>
          <w:rFonts w:cs="Times New Roman"/>
        </w:rPr>
        <w:t>(transport agents, porters);</w:t>
      </w:r>
    </w:p>
    <w:p w14:paraId="02725701" w14:textId="023D0715" w:rsidR="0022753F" w:rsidRPr="008054B6" w:rsidRDefault="00907EA8" w:rsidP="008054B6">
      <w:pPr>
        <w:pStyle w:val="ListParagraph"/>
        <w:numPr>
          <w:ilvl w:val="0"/>
          <w:numId w:val="43"/>
        </w:numPr>
        <w:spacing w:after="0" w:line="240" w:lineRule="auto"/>
        <w:rPr>
          <w:rFonts w:cs="Times New Roman"/>
        </w:rPr>
      </w:pPr>
      <w:r w:rsidRPr="008054B6">
        <w:rPr>
          <w:rFonts w:cs="Times New Roman"/>
        </w:rPr>
        <w:t xml:space="preserve">observing </w:t>
      </w:r>
      <w:r w:rsidR="0022753F" w:rsidRPr="008054B6">
        <w:rPr>
          <w:rFonts w:cs="Times New Roman"/>
        </w:rPr>
        <w:t>household sharing practices</w:t>
      </w:r>
      <w:r w:rsidR="00A56F23" w:rsidRPr="008054B6">
        <w:rPr>
          <w:rFonts w:cs="Times New Roman"/>
        </w:rPr>
        <w:t xml:space="preserve"> and intra-household dynamics, including gender-based violence</w:t>
      </w:r>
      <w:r w:rsidRPr="008054B6">
        <w:rPr>
          <w:rFonts w:cs="Times New Roman"/>
        </w:rPr>
        <w:t>,</w:t>
      </w:r>
      <w:r w:rsidR="0022753F" w:rsidRPr="008054B6">
        <w:rPr>
          <w:rFonts w:cs="Times New Roman"/>
        </w:rPr>
        <w:t xml:space="preserve"> and</w:t>
      </w:r>
    </w:p>
    <w:p w14:paraId="53FA4693" w14:textId="2303A334" w:rsidR="0022753F" w:rsidRPr="008054B6" w:rsidRDefault="0022753F" w:rsidP="008054B6">
      <w:pPr>
        <w:pStyle w:val="ListParagraph"/>
        <w:numPr>
          <w:ilvl w:val="0"/>
          <w:numId w:val="43"/>
        </w:numPr>
        <w:spacing w:after="0" w:line="240" w:lineRule="auto"/>
        <w:rPr>
          <w:rFonts w:cs="Times New Roman"/>
        </w:rPr>
      </w:pPr>
      <w:r w:rsidRPr="008054B6">
        <w:rPr>
          <w:rFonts w:cs="Times New Roman"/>
        </w:rPr>
        <w:t>tracking</w:t>
      </w:r>
      <w:r w:rsidR="00DA7029" w:rsidRPr="008054B6">
        <w:rPr>
          <w:rFonts w:cs="Times New Roman"/>
        </w:rPr>
        <w:t xml:space="preserve"> household income sources as well as</w:t>
      </w:r>
      <w:r w:rsidR="003B3C59" w:rsidRPr="008054B6">
        <w:rPr>
          <w:rFonts w:cs="Times New Roman"/>
        </w:rPr>
        <w:t xml:space="preserve"> household</w:t>
      </w:r>
      <w:r w:rsidRPr="008054B6">
        <w:rPr>
          <w:rFonts w:cs="Times New Roman"/>
        </w:rPr>
        <w:t xml:space="preserve"> debt reduction</w:t>
      </w:r>
      <w:r w:rsidR="00A56F23" w:rsidRPr="008054B6">
        <w:rPr>
          <w:rFonts w:cs="Times New Roman"/>
        </w:rPr>
        <w:t>.</w:t>
      </w:r>
    </w:p>
    <w:p w14:paraId="4A1A9184" w14:textId="7027E755" w:rsidR="00D7394A" w:rsidRPr="008054B6" w:rsidRDefault="0022753F" w:rsidP="008054B6">
      <w:pPr>
        <w:spacing w:after="0" w:line="240" w:lineRule="auto"/>
        <w:rPr>
          <w:rFonts w:cs="Times New Roman"/>
        </w:rPr>
      </w:pPr>
      <w:r w:rsidRPr="008054B6">
        <w:rPr>
          <w:rFonts w:cs="Times New Roman"/>
        </w:rPr>
        <w:t xml:space="preserve">While not feasible to track all of these indicators systematically, monitoring such additional benefits </w:t>
      </w:r>
      <w:r w:rsidR="00DA7029" w:rsidRPr="008054B6">
        <w:rPr>
          <w:rFonts w:cs="Times New Roman"/>
        </w:rPr>
        <w:t xml:space="preserve">will capture the </w:t>
      </w:r>
      <w:r w:rsidR="00A56F23" w:rsidRPr="008054B6">
        <w:rPr>
          <w:rFonts w:cs="Times New Roman"/>
        </w:rPr>
        <w:t>more complete</w:t>
      </w:r>
      <w:r w:rsidR="00DA7029" w:rsidRPr="008054B6">
        <w:rPr>
          <w:rFonts w:cs="Times New Roman"/>
        </w:rPr>
        <w:t xml:space="preserve"> s</w:t>
      </w:r>
      <w:r w:rsidR="001C2C21" w:rsidRPr="008054B6">
        <w:rPr>
          <w:rFonts w:cs="Times New Roman"/>
        </w:rPr>
        <w:t xml:space="preserve">pectrum of </w:t>
      </w:r>
      <w:r w:rsidR="00A56F23" w:rsidRPr="008054B6">
        <w:rPr>
          <w:rFonts w:cs="Times New Roman"/>
        </w:rPr>
        <w:t xml:space="preserve">program </w:t>
      </w:r>
      <w:r w:rsidR="001C2C21" w:rsidRPr="008054B6">
        <w:rPr>
          <w:rFonts w:cs="Times New Roman"/>
        </w:rPr>
        <w:t>impact</w:t>
      </w:r>
      <w:r w:rsidR="00DA7029" w:rsidRPr="008054B6">
        <w:rPr>
          <w:rFonts w:cs="Times New Roman"/>
        </w:rPr>
        <w:t xml:space="preserve">.  </w:t>
      </w:r>
      <w:r w:rsidR="0011399F" w:rsidRPr="008054B6">
        <w:rPr>
          <w:rFonts w:cs="Times New Roman"/>
        </w:rPr>
        <w:t xml:space="preserve">Where regular monitoring is not practical or appropriate during implementation, final evaluations or post-distribution monitoring could also </w:t>
      </w:r>
      <w:r w:rsidRPr="008054B6">
        <w:rPr>
          <w:rFonts w:cs="Times New Roman"/>
        </w:rPr>
        <w:t>report</w:t>
      </w:r>
      <w:r w:rsidR="0011399F" w:rsidRPr="008054B6">
        <w:rPr>
          <w:rFonts w:cs="Times New Roman"/>
        </w:rPr>
        <w:t xml:space="preserve"> on how vouchers or </w:t>
      </w:r>
      <w:r w:rsidRPr="008054B6">
        <w:rPr>
          <w:rFonts w:cs="Times New Roman"/>
        </w:rPr>
        <w:t>cash</w:t>
      </w:r>
      <w:r w:rsidR="0011399F" w:rsidRPr="008054B6">
        <w:rPr>
          <w:rFonts w:cs="Times New Roman"/>
        </w:rPr>
        <w:t xml:space="preserve"> can have wider impacts on families and market actors.</w:t>
      </w:r>
    </w:p>
    <w:p w14:paraId="23AAA660" w14:textId="77777777" w:rsidR="00E3797D" w:rsidRPr="008054B6" w:rsidRDefault="00E3797D" w:rsidP="008054B6">
      <w:pPr>
        <w:spacing w:after="0" w:line="240" w:lineRule="auto"/>
        <w:rPr>
          <w:rFonts w:cs="Times New Roman"/>
        </w:rPr>
      </w:pPr>
    </w:p>
    <w:p w14:paraId="594172BA" w14:textId="77777777" w:rsidR="00E64FEF" w:rsidRPr="008054B6" w:rsidRDefault="00E64FEF" w:rsidP="008054B6">
      <w:pPr>
        <w:spacing w:after="0" w:line="240" w:lineRule="auto"/>
        <w:rPr>
          <w:rFonts w:cs="Times New Roman"/>
        </w:rPr>
      </w:pPr>
      <w:r w:rsidRPr="008054B6">
        <w:rPr>
          <w:rFonts w:cs="Times New Roman"/>
          <w:b/>
        </w:rPr>
        <w:t>Evaluate and sufficiently plan for vendor capacity needs:</w:t>
      </w:r>
      <w:r w:rsidRPr="008054B6">
        <w:rPr>
          <w:rFonts w:cs="Times New Roman"/>
        </w:rPr>
        <w:t xml:space="preserve"> Vendors require a sufficient literacy and numeracy level in order to participate in a humanitarian food assistance program using vouchers. Therefore, CRS recommends that future programs account for low vendor capacity in the following ways:</w:t>
      </w:r>
    </w:p>
    <w:p w14:paraId="3EDB3DB6" w14:textId="77777777" w:rsidR="00E64FEF" w:rsidRPr="008054B6" w:rsidRDefault="00E64FEF" w:rsidP="008054B6">
      <w:pPr>
        <w:pStyle w:val="ListParagraph"/>
        <w:numPr>
          <w:ilvl w:val="0"/>
          <w:numId w:val="29"/>
        </w:numPr>
        <w:spacing w:after="0" w:line="240" w:lineRule="auto"/>
        <w:rPr>
          <w:rFonts w:cs="Times New Roman"/>
        </w:rPr>
      </w:pPr>
      <w:r w:rsidRPr="008054B6">
        <w:rPr>
          <w:rFonts w:cs="Times New Roman"/>
        </w:rPr>
        <w:t>Simplify documentation, policies, and procedures to reduce the learning curve for vendors while still assuring program compliance with internal and donor requirements</w:t>
      </w:r>
    </w:p>
    <w:p w14:paraId="7BDB376B" w14:textId="77777777" w:rsidR="00E64FEF" w:rsidRPr="008054B6" w:rsidRDefault="00E64FEF" w:rsidP="008054B6">
      <w:pPr>
        <w:pStyle w:val="ListParagraph"/>
        <w:numPr>
          <w:ilvl w:val="0"/>
          <w:numId w:val="29"/>
        </w:numPr>
        <w:spacing w:after="0" w:line="240" w:lineRule="auto"/>
        <w:rPr>
          <w:rFonts w:cs="Times New Roman"/>
        </w:rPr>
      </w:pPr>
      <w:r w:rsidRPr="008054B6">
        <w:rPr>
          <w:rFonts w:cs="Times New Roman"/>
        </w:rPr>
        <w:t>Account for sufficient time to include training and capacity building, as well as stand-by technical assistance for vendors during the first months of the program</w:t>
      </w:r>
    </w:p>
    <w:p w14:paraId="23EA0EF1" w14:textId="02314609" w:rsidR="00E64FEF" w:rsidRPr="008054B6" w:rsidRDefault="00E64FEF" w:rsidP="008054B6">
      <w:pPr>
        <w:pStyle w:val="ListParagraph"/>
        <w:numPr>
          <w:ilvl w:val="0"/>
          <w:numId w:val="29"/>
        </w:numPr>
        <w:spacing w:after="0" w:line="240" w:lineRule="auto"/>
        <w:rPr>
          <w:rFonts w:cs="Times New Roman"/>
        </w:rPr>
      </w:pPr>
      <w:r w:rsidRPr="008054B6">
        <w:rPr>
          <w:rFonts w:cs="Times New Roman"/>
        </w:rPr>
        <w:t>Incorporate rigorous selection criteria for vendors</w:t>
      </w:r>
      <w:r w:rsidR="00941FC5" w:rsidRPr="008054B6">
        <w:rPr>
          <w:rFonts w:cs="Times New Roman"/>
        </w:rPr>
        <w:t xml:space="preserve"> to assure that participating</w:t>
      </w:r>
      <w:r w:rsidRPr="008054B6">
        <w:rPr>
          <w:rFonts w:cs="Times New Roman"/>
        </w:rPr>
        <w:t xml:space="preserve"> vendors are demonstrably able to meet all standards and administrative requirements</w:t>
      </w:r>
      <w:r w:rsidR="00941FC5" w:rsidRPr="008054B6">
        <w:rPr>
          <w:rFonts w:cs="Times New Roman"/>
        </w:rPr>
        <w:t xml:space="preserve">. In addition, </w:t>
      </w:r>
      <w:r w:rsidR="0011399F" w:rsidRPr="008054B6">
        <w:rPr>
          <w:rFonts w:cs="Times New Roman"/>
        </w:rPr>
        <w:t xml:space="preserve">extend participation to small and medium sized traders to diversify the injection of capital </w:t>
      </w:r>
      <w:r w:rsidR="00941FC5" w:rsidRPr="008054B6">
        <w:rPr>
          <w:rFonts w:cs="Times New Roman"/>
        </w:rPr>
        <w:t xml:space="preserve">across </w:t>
      </w:r>
      <w:r w:rsidR="0011399F" w:rsidRPr="008054B6">
        <w:rPr>
          <w:rFonts w:cs="Times New Roman"/>
        </w:rPr>
        <w:t>different points in the market chain</w:t>
      </w:r>
      <w:r w:rsidRPr="008054B6">
        <w:rPr>
          <w:rFonts w:cs="Times New Roman"/>
        </w:rPr>
        <w:t>.</w:t>
      </w:r>
    </w:p>
    <w:p w14:paraId="654BEBD2" w14:textId="78FBC433" w:rsidR="00E64FEF" w:rsidRPr="008054B6" w:rsidRDefault="00E64FEF" w:rsidP="008054B6">
      <w:pPr>
        <w:pStyle w:val="ListParagraph"/>
        <w:numPr>
          <w:ilvl w:val="0"/>
          <w:numId w:val="29"/>
        </w:numPr>
        <w:spacing w:after="0" w:line="240" w:lineRule="auto"/>
        <w:rPr>
          <w:rFonts w:cs="Times New Roman"/>
        </w:rPr>
      </w:pPr>
      <w:r w:rsidRPr="008054B6">
        <w:rPr>
          <w:rFonts w:cs="Times New Roman"/>
        </w:rPr>
        <w:t>Determine an appropriate ratio of vendors to beneficiaries, taking into consideration timed cycles of voucher redemption, safety and security, access, as well as distance to and from shops to community hubs.</w:t>
      </w:r>
      <w:r w:rsidR="00EA2DAF" w:rsidRPr="008054B6">
        <w:rPr>
          <w:rFonts w:cs="Times New Roman"/>
        </w:rPr>
        <w:t xml:space="preserve">  This may vary according to the local urban context, vendor capacity, security issues, access, and other factors.  From the Somalia example, the project team noted that 40 vendors was too many to support from an administrative point of view, rather than as a standard for vendor-to-beneficiary ratio.</w:t>
      </w:r>
    </w:p>
    <w:p w14:paraId="12BD442C" w14:textId="77777777" w:rsidR="00113884" w:rsidRPr="008054B6" w:rsidRDefault="00113884" w:rsidP="008054B6">
      <w:pPr>
        <w:pStyle w:val="ListParagraph"/>
        <w:spacing w:after="0"/>
        <w:rPr>
          <w:rFonts w:cs="Times New Roman"/>
        </w:rPr>
      </w:pPr>
    </w:p>
    <w:p w14:paraId="4DC858FA" w14:textId="0C93A7E3" w:rsidR="00DA0F86" w:rsidRPr="008054B6" w:rsidRDefault="00DA0F86" w:rsidP="008054B6">
      <w:pPr>
        <w:spacing w:line="240" w:lineRule="auto"/>
        <w:rPr>
          <w:rFonts w:cs="Times New Roman"/>
        </w:rPr>
      </w:pPr>
      <w:r w:rsidRPr="008054B6">
        <w:rPr>
          <w:rFonts w:cs="Times New Roman"/>
          <w:b/>
        </w:rPr>
        <w:t>Restricted voucher programs can enhance household consumption of nutrient rich foods</w:t>
      </w:r>
      <w:r w:rsidR="009D735C" w:rsidRPr="008054B6">
        <w:rPr>
          <w:rFonts w:cs="Times New Roman"/>
          <w:b/>
        </w:rPr>
        <w:t>, even if these foods are not included in the restricted voucher</w:t>
      </w:r>
      <w:r w:rsidRPr="008054B6">
        <w:rPr>
          <w:rFonts w:cs="Times New Roman"/>
          <w:b/>
        </w:rPr>
        <w:t>.</w:t>
      </w:r>
      <w:r w:rsidRPr="008054B6">
        <w:rPr>
          <w:rFonts w:cs="Times New Roman"/>
        </w:rPr>
        <w:t xml:space="preserve">  </w:t>
      </w:r>
      <w:r w:rsidRPr="008054B6">
        <w:rPr>
          <w:rFonts w:cs="Times New Roman"/>
          <w:bCs/>
        </w:rPr>
        <w:t xml:space="preserve">Voucher programs can support increased access to nutritious foods, which may present cost-benefit choices for households.  The CRS voucher was designed to meet approximately half of food needs, with the expectation that households would complement their staple food assistance with these items and other additives that increase nutritional value. This was observed in the CRS programs, especially in Kismayo; however, including perishable </w:t>
      </w:r>
      <w:r w:rsidRPr="008054B6">
        <w:rPr>
          <w:rFonts w:cs="Times New Roman"/>
          <w:bCs/>
        </w:rPr>
        <w:lastRenderedPageBreak/>
        <w:t>goods as part of a voucher program may import logistical and cost implications.  A key lesson learned is that households will make calculated choices to include more nutrient rich foods in their diet. CRS recommends further consideration of complementary project activities and support that promote increased consumption of more nutrient-rich options, which could include sensitization</w:t>
      </w:r>
      <w:r w:rsidR="009D735C" w:rsidRPr="008054B6">
        <w:rPr>
          <w:rFonts w:cs="Times New Roman"/>
          <w:bCs/>
        </w:rPr>
        <w:t xml:space="preserve"> and education</w:t>
      </w:r>
      <w:r w:rsidRPr="008054B6">
        <w:rPr>
          <w:rFonts w:cs="Times New Roman"/>
          <w:bCs/>
        </w:rPr>
        <w:t xml:space="preserve">, incorporation of micronutrient-rich vouchers, </w:t>
      </w:r>
      <w:r w:rsidR="009D735C" w:rsidRPr="008054B6">
        <w:rPr>
          <w:rFonts w:cs="Times New Roman"/>
          <w:bCs/>
        </w:rPr>
        <w:t>including micro-nutrient powders or supplements with the voucher, and cash-grants for daily purchase of perishable goods, among others</w:t>
      </w:r>
      <w:r w:rsidRPr="008054B6">
        <w:rPr>
          <w:rFonts w:cs="Times New Roman"/>
          <w:bCs/>
        </w:rPr>
        <w:t>.</w:t>
      </w:r>
    </w:p>
    <w:p w14:paraId="287C7676" w14:textId="77777777" w:rsidR="00DA7029" w:rsidRPr="008054B6" w:rsidRDefault="00DA7029" w:rsidP="008054B6">
      <w:pPr>
        <w:pStyle w:val="yiv8733933743msonormal"/>
        <w:spacing w:before="0" w:beforeAutospacing="0" w:after="0" w:afterAutospacing="0"/>
        <w:rPr>
          <w:rFonts w:asciiTheme="minorHAnsi" w:hAnsiTheme="minorHAnsi"/>
          <w:sz w:val="22"/>
          <w:szCs w:val="22"/>
        </w:rPr>
      </w:pPr>
    </w:p>
    <w:p w14:paraId="6EEBDE43" w14:textId="77777777" w:rsidR="008054B6" w:rsidRPr="008054B6" w:rsidRDefault="008054B6" w:rsidP="008054B6">
      <w:pPr>
        <w:spacing w:after="0" w:line="240" w:lineRule="auto"/>
        <w:contextualSpacing/>
        <w:rPr>
          <w:rFonts w:cs="Times New Roman"/>
          <w:b/>
          <w:color w:val="0070C0"/>
          <w:sz w:val="36"/>
        </w:rPr>
      </w:pPr>
      <w:r w:rsidRPr="008054B6">
        <w:rPr>
          <w:rFonts w:cs="Times New Roman"/>
          <w:b/>
          <w:color w:val="0070C0"/>
          <w:sz w:val="36"/>
        </w:rPr>
        <w:t>CONCLUSION</w:t>
      </w:r>
    </w:p>
    <w:p w14:paraId="34C23C33" w14:textId="35BB2838" w:rsidR="006806C6" w:rsidRPr="008054B6" w:rsidRDefault="008054B6" w:rsidP="008054B6">
      <w:pPr>
        <w:spacing w:after="0" w:line="240" w:lineRule="auto"/>
        <w:contextualSpacing/>
        <w:rPr>
          <w:rFonts w:cs="Times New Roman"/>
        </w:rPr>
      </w:pPr>
      <w:r>
        <w:rPr>
          <w:rFonts w:cs="Times New Roman"/>
        </w:rPr>
        <w:br/>
      </w:r>
      <w:r w:rsidR="00DB1ED7" w:rsidRPr="008054B6">
        <w:rPr>
          <w:rFonts w:cs="Times New Roman"/>
        </w:rPr>
        <w:t xml:space="preserve">A review of the urban voucher program demonstrates that cash-based food security </w:t>
      </w:r>
      <w:r w:rsidR="00CD531A" w:rsidRPr="008054B6">
        <w:rPr>
          <w:rFonts w:cs="Times New Roman"/>
        </w:rPr>
        <w:t xml:space="preserve">programs impact not only food security outcomes at the household level, but have a </w:t>
      </w:r>
      <w:r w:rsidR="00A56F23" w:rsidRPr="008054B6">
        <w:rPr>
          <w:rFonts w:cs="Times New Roman"/>
        </w:rPr>
        <w:t>ripple</w:t>
      </w:r>
      <w:r w:rsidR="00CD531A" w:rsidRPr="008054B6">
        <w:rPr>
          <w:rFonts w:cs="Times New Roman"/>
        </w:rPr>
        <w:t xml:space="preserve"> effect on household economy, local market actors, and community relationships.  </w:t>
      </w:r>
      <w:r w:rsidR="002B0934" w:rsidRPr="008054B6">
        <w:rPr>
          <w:rFonts w:cs="Times New Roman"/>
        </w:rPr>
        <w:t xml:space="preserve">The Somalia case study demonstrates the appropriateness of vouchers as a means of providing food assistance in insecure environments, and how the infusion of cash can support household relationships, school attendance, personal safety and health, formalization of market sectors and increased community cohesion, all while achieving the primary goal of averting acute food insecurity among the most vulnerable populations.  Catholic Relief Services asserts that interventions such as the Somalia Food Assistance Voucher program point to the use of </w:t>
      </w:r>
      <w:r w:rsidR="00A56F23" w:rsidRPr="008054B6">
        <w:rPr>
          <w:rFonts w:cs="Times New Roman"/>
        </w:rPr>
        <w:t xml:space="preserve">a </w:t>
      </w:r>
      <w:r w:rsidR="002B0934" w:rsidRPr="008054B6">
        <w:rPr>
          <w:rFonts w:cs="Times New Roman"/>
        </w:rPr>
        <w:t>cash</w:t>
      </w:r>
      <w:r w:rsidR="00A56F23" w:rsidRPr="008054B6">
        <w:rPr>
          <w:rFonts w:cs="Times New Roman"/>
        </w:rPr>
        <w:t>-based approach</w:t>
      </w:r>
      <w:r w:rsidR="002B0934" w:rsidRPr="008054B6">
        <w:rPr>
          <w:rFonts w:cs="Times New Roman"/>
        </w:rPr>
        <w:t xml:space="preserve"> as an efficient means of addressing multiple humanitarian and recovery-oriented objectives through a relatively streamlined activity. </w:t>
      </w:r>
    </w:p>
    <w:p w14:paraId="3EB2D9A2" w14:textId="77777777" w:rsidR="002B0934" w:rsidRPr="008054B6" w:rsidRDefault="002B0934" w:rsidP="008054B6">
      <w:pPr>
        <w:spacing w:after="0" w:line="240" w:lineRule="auto"/>
        <w:contextualSpacing/>
        <w:rPr>
          <w:rFonts w:cs="Times New Roman"/>
        </w:rPr>
      </w:pPr>
    </w:p>
    <w:p w14:paraId="6E53F8AF" w14:textId="77197D66" w:rsidR="002B0934" w:rsidRPr="008054B6" w:rsidRDefault="00B60EFE" w:rsidP="008054B6">
      <w:pPr>
        <w:spacing w:after="0" w:line="240" w:lineRule="auto"/>
        <w:contextualSpacing/>
        <w:rPr>
          <w:rFonts w:cs="Times New Roman"/>
        </w:rPr>
      </w:pPr>
      <w:r w:rsidRPr="008054B6">
        <w:rPr>
          <w:rFonts w:cs="Times New Roman"/>
        </w:rPr>
        <w:t xml:space="preserve">CRS continues to support urban food security for the most vulnerable communities in Somalia urban centers, particularly Baidoa and Mogadishu, through carefully adapted cash-based programming that seeks to minimize dependency, maximize choice and autonomy, and </w:t>
      </w:r>
      <w:r w:rsidR="00973729" w:rsidRPr="008054B6">
        <w:rPr>
          <w:rFonts w:cs="Times New Roman"/>
        </w:rPr>
        <w:t xml:space="preserve">support increased food consumption.  Upcoming programs, funded by </w:t>
      </w:r>
      <w:r w:rsidR="00A56F23" w:rsidRPr="008054B6">
        <w:rPr>
          <w:rFonts w:cs="Times New Roman"/>
        </w:rPr>
        <w:t>USAID/ FFP</w:t>
      </w:r>
      <w:r w:rsidR="00973729" w:rsidRPr="008054B6">
        <w:rPr>
          <w:rFonts w:cs="Times New Roman"/>
        </w:rPr>
        <w:t xml:space="preserve">, will extend the voucher program to an additional 19,000 households, and will assure access to food during the lean season in displaced and host communities by building on the successes of previous and ongoing cash-based food security programming. </w:t>
      </w:r>
    </w:p>
    <w:sectPr w:rsidR="002B0934" w:rsidRPr="008054B6" w:rsidSect="008054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F325" w14:textId="77777777" w:rsidR="00C33EFD" w:rsidRDefault="00C33EFD" w:rsidP="00B729E2">
      <w:pPr>
        <w:spacing w:after="0" w:line="240" w:lineRule="auto"/>
      </w:pPr>
      <w:r>
        <w:separator/>
      </w:r>
    </w:p>
  </w:endnote>
  <w:endnote w:type="continuationSeparator" w:id="0">
    <w:p w14:paraId="55E971F3" w14:textId="77777777" w:rsidR="00C33EFD" w:rsidRDefault="00C33EFD" w:rsidP="00B7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67416"/>
      <w:docPartObj>
        <w:docPartGallery w:val="Page Numbers (Bottom of Page)"/>
        <w:docPartUnique/>
      </w:docPartObj>
    </w:sdtPr>
    <w:sdtEndPr>
      <w:rPr>
        <w:noProof/>
      </w:rPr>
    </w:sdtEndPr>
    <w:sdtContent>
      <w:p w14:paraId="333BC974" w14:textId="43EA0A04" w:rsidR="00F45600" w:rsidRDefault="00F45600">
        <w:pPr>
          <w:pStyle w:val="Footer"/>
          <w:jc w:val="right"/>
        </w:pPr>
        <w:r>
          <w:fldChar w:fldCharType="begin"/>
        </w:r>
        <w:r>
          <w:instrText xml:space="preserve"> PAGE   \* MERGEFORMAT </w:instrText>
        </w:r>
        <w:r>
          <w:fldChar w:fldCharType="separate"/>
        </w:r>
        <w:r w:rsidR="001E00FE">
          <w:rPr>
            <w:noProof/>
          </w:rPr>
          <w:t>1</w:t>
        </w:r>
        <w:r>
          <w:rPr>
            <w:noProof/>
          </w:rPr>
          <w:fldChar w:fldCharType="end"/>
        </w:r>
      </w:p>
    </w:sdtContent>
  </w:sdt>
  <w:p w14:paraId="71256EB3" w14:textId="77777777" w:rsidR="00F45600" w:rsidRDefault="00F45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4EFA0" w14:textId="77777777" w:rsidR="00C33EFD" w:rsidRDefault="00C33EFD" w:rsidP="00B729E2">
      <w:pPr>
        <w:spacing w:after="0" w:line="240" w:lineRule="auto"/>
      </w:pPr>
      <w:r>
        <w:separator/>
      </w:r>
    </w:p>
  </w:footnote>
  <w:footnote w:type="continuationSeparator" w:id="0">
    <w:p w14:paraId="3502F9E8" w14:textId="77777777" w:rsidR="00C33EFD" w:rsidRDefault="00C33EFD" w:rsidP="00B729E2">
      <w:pPr>
        <w:spacing w:after="0" w:line="240" w:lineRule="auto"/>
      </w:pPr>
      <w:r>
        <w:continuationSeparator/>
      </w:r>
    </w:p>
  </w:footnote>
  <w:footnote w:id="1">
    <w:p w14:paraId="16A38A81" w14:textId="77777777" w:rsidR="00F45600" w:rsidRPr="00C039F8" w:rsidRDefault="00F45600" w:rsidP="005F01DB">
      <w:pPr>
        <w:pStyle w:val="FootnoteText"/>
        <w:rPr>
          <w:i/>
          <w:sz w:val="16"/>
          <w:szCs w:val="16"/>
        </w:rPr>
      </w:pPr>
      <w:r w:rsidRPr="00C039F8">
        <w:rPr>
          <w:rStyle w:val="FootnoteReference"/>
          <w:i/>
          <w:sz w:val="16"/>
          <w:szCs w:val="16"/>
        </w:rPr>
        <w:footnoteRef/>
      </w:r>
      <w:r w:rsidRPr="00C039F8">
        <w:rPr>
          <w:i/>
          <w:sz w:val="16"/>
          <w:szCs w:val="16"/>
        </w:rPr>
        <w:t xml:space="preserve"> Mortality among populations of southern and central Somalia affected by severe food insecurity and famine during 2010-2012. FSNAU, FEWS NET, London School of</w:t>
      </w:r>
      <w:r>
        <w:rPr>
          <w:i/>
          <w:sz w:val="16"/>
          <w:szCs w:val="16"/>
        </w:rPr>
        <w:t xml:space="preserve"> Hygiene and Tropical Medicine </w:t>
      </w:r>
      <w:r w:rsidRPr="00C039F8">
        <w:rPr>
          <w:i/>
          <w:sz w:val="16"/>
          <w:szCs w:val="16"/>
        </w:rPr>
        <w:t>and the Johns Hopkins University Bloomberg School of Public Health. May 2013.</w:t>
      </w:r>
    </w:p>
  </w:footnote>
  <w:footnote w:id="2">
    <w:p w14:paraId="3AB55AF8" w14:textId="7B4C8B44" w:rsidR="00F45600" w:rsidRPr="00A30A09" w:rsidRDefault="00F45600">
      <w:pPr>
        <w:pStyle w:val="FootnoteText"/>
        <w:rPr>
          <w:rFonts w:ascii="Times New Roman" w:hAnsi="Times New Roman" w:cs="Times New Roman"/>
        </w:rPr>
      </w:pPr>
      <w:r w:rsidRPr="00A30A09">
        <w:rPr>
          <w:rStyle w:val="FootnoteReference"/>
          <w:rFonts w:ascii="Times New Roman" w:hAnsi="Times New Roman" w:cs="Times New Roman"/>
        </w:rPr>
        <w:footnoteRef/>
      </w:r>
      <w:r w:rsidRPr="00A30A09">
        <w:rPr>
          <w:rFonts w:ascii="Times New Roman" w:hAnsi="Times New Roman" w:cs="Times New Roman"/>
        </w:rPr>
        <w:t xml:space="preserve"> </w:t>
      </w:r>
      <w:r w:rsidRPr="00907EA8">
        <w:rPr>
          <w:rFonts w:cs="Times New Roman"/>
          <w:i/>
          <w:sz w:val="16"/>
          <w:szCs w:val="16"/>
        </w:rPr>
        <w:t>While this could refer to prostitution, it is important to note that many jobs are indecent for women, and that the voucher program may have helped women avoid participating in paid work that is socially inappropriate but not necessarily exploitative.</w:t>
      </w:r>
      <w:r w:rsidRPr="00A30A09">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285"/>
    <w:multiLevelType w:val="hybridMultilevel"/>
    <w:tmpl w:val="C838B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A75FC"/>
    <w:multiLevelType w:val="hybridMultilevel"/>
    <w:tmpl w:val="401844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75CFC"/>
    <w:multiLevelType w:val="hybridMultilevel"/>
    <w:tmpl w:val="DB7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32C1"/>
    <w:multiLevelType w:val="hybridMultilevel"/>
    <w:tmpl w:val="A308E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A6CAC"/>
    <w:multiLevelType w:val="hybridMultilevel"/>
    <w:tmpl w:val="E7AC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C3C"/>
    <w:multiLevelType w:val="hybridMultilevel"/>
    <w:tmpl w:val="474A7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A37"/>
    <w:multiLevelType w:val="hybridMultilevel"/>
    <w:tmpl w:val="4A9E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F619F"/>
    <w:multiLevelType w:val="hybridMultilevel"/>
    <w:tmpl w:val="F736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05F35"/>
    <w:multiLevelType w:val="hybridMultilevel"/>
    <w:tmpl w:val="6958D0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5F02EB"/>
    <w:multiLevelType w:val="hybridMultilevel"/>
    <w:tmpl w:val="4406E502"/>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8A0A66"/>
    <w:multiLevelType w:val="hybridMultilevel"/>
    <w:tmpl w:val="1532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3246E"/>
    <w:multiLevelType w:val="hybridMultilevel"/>
    <w:tmpl w:val="8F42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D2C02"/>
    <w:multiLevelType w:val="hybridMultilevel"/>
    <w:tmpl w:val="24007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61D3F"/>
    <w:multiLevelType w:val="hybridMultilevel"/>
    <w:tmpl w:val="43DCBC7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72472B"/>
    <w:multiLevelType w:val="hybridMultilevel"/>
    <w:tmpl w:val="2346B4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1F9E2F66"/>
    <w:multiLevelType w:val="hybridMultilevel"/>
    <w:tmpl w:val="85E2D1AE"/>
    <w:lvl w:ilvl="0" w:tplc="42D427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705EB"/>
    <w:multiLevelType w:val="hybridMultilevel"/>
    <w:tmpl w:val="6798B368"/>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2496555D"/>
    <w:multiLevelType w:val="hybridMultilevel"/>
    <w:tmpl w:val="1026D2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27C1F"/>
    <w:multiLevelType w:val="hybridMultilevel"/>
    <w:tmpl w:val="2D1854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6C1A8C"/>
    <w:multiLevelType w:val="hybridMultilevel"/>
    <w:tmpl w:val="475E4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AA4E6F"/>
    <w:multiLevelType w:val="hybridMultilevel"/>
    <w:tmpl w:val="F15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847E0"/>
    <w:multiLevelType w:val="hybridMultilevel"/>
    <w:tmpl w:val="501CCA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671B57"/>
    <w:multiLevelType w:val="hybridMultilevel"/>
    <w:tmpl w:val="12E89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775DA"/>
    <w:multiLevelType w:val="hybridMultilevel"/>
    <w:tmpl w:val="FC54D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857BF"/>
    <w:multiLevelType w:val="hybridMultilevel"/>
    <w:tmpl w:val="2A2E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DE7FA4"/>
    <w:multiLevelType w:val="hybridMultilevel"/>
    <w:tmpl w:val="C24A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02939"/>
    <w:multiLevelType w:val="hybridMultilevel"/>
    <w:tmpl w:val="4D30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1872FA"/>
    <w:multiLevelType w:val="hybridMultilevel"/>
    <w:tmpl w:val="839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F109B"/>
    <w:multiLevelType w:val="hybridMultilevel"/>
    <w:tmpl w:val="CEFE713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8D46E7"/>
    <w:multiLevelType w:val="hybridMultilevel"/>
    <w:tmpl w:val="BE1A7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7914E6"/>
    <w:multiLevelType w:val="hybridMultilevel"/>
    <w:tmpl w:val="FB544AAC"/>
    <w:lvl w:ilvl="0" w:tplc="4F061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5B5B20"/>
    <w:multiLevelType w:val="hybridMultilevel"/>
    <w:tmpl w:val="17CC47AA"/>
    <w:lvl w:ilvl="0" w:tplc="BABC30A2">
      <w:start w:val="1"/>
      <w:numFmt w:val="bullet"/>
      <w:lvlText w:val="-"/>
      <w:lvlJc w:val="left"/>
      <w:pPr>
        <w:ind w:left="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9EA1E8B"/>
    <w:multiLevelType w:val="hybridMultilevel"/>
    <w:tmpl w:val="FFEE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0A028B"/>
    <w:multiLevelType w:val="hybridMultilevel"/>
    <w:tmpl w:val="704EDD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910E0"/>
    <w:multiLevelType w:val="hybridMultilevel"/>
    <w:tmpl w:val="2CF0817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2852A5"/>
    <w:multiLevelType w:val="hybridMultilevel"/>
    <w:tmpl w:val="8E40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030D0"/>
    <w:multiLevelType w:val="hybridMultilevel"/>
    <w:tmpl w:val="99364C30"/>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780BBC"/>
    <w:multiLevelType w:val="hybridMultilevel"/>
    <w:tmpl w:val="DEB8E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2D2421"/>
    <w:multiLevelType w:val="hybridMultilevel"/>
    <w:tmpl w:val="25FEFC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91021"/>
    <w:multiLevelType w:val="hybridMultilevel"/>
    <w:tmpl w:val="9BA0F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479FB"/>
    <w:multiLevelType w:val="hybridMultilevel"/>
    <w:tmpl w:val="C748B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6B409C"/>
    <w:multiLevelType w:val="hybridMultilevel"/>
    <w:tmpl w:val="F822D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E24BC"/>
    <w:multiLevelType w:val="hybridMultilevel"/>
    <w:tmpl w:val="CD0E1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F1A6E"/>
    <w:multiLevelType w:val="hybridMultilevel"/>
    <w:tmpl w:val="371216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EA7C3A"/>
    <w:multiLevelType w:val="hybridMultilevel"/>
    <w:tmpl w:val="226029F4"/>
    <w:lvl w:ilvl="0" w:tplc="0409000D">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067582"/>
    <w:multiLevelType w:val="hybridMultilevel"/>
    <w:tmpl w:val="88209FB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8"/>
  </w:num>
  <w:num w:numId="3">
    <w:abstractNumId w:val="5"/>
  </w:num>
  <w:num w:numId="4">
    <w:abstractNumId w:val="33"/>
  </w:num>
  <w:num w:numId="5">
    <w:abstractNumId w:val="17"/>
  </w:num>
  <w:num w:numId="6">
    <w:abstractNumId w:val="28"/>
  </w:num>
  <w:num w:numId="7">
    <w:abstractNumId w:val="39"/>
  </w:num>
  <w:num w:numId="8">
    <w:abstractNumId w:val="9"/>
  </w:num>
  <w:num w:numId="9">
    <w:abstractNumId w:val="43"/>
  </w:num>
  <w:num w:numId="10">
    <w:abstractNumId w:val="13"/>
  </w:num>
  <w:num w:numId="11">
    <w:abstractNumId w:val="34"/>
  </w:num>
  <w:num w:numId="12">
    <w:abstractNumId w:val="23"/>
  </w:num>
  <w:num w:numId="13">
    <w:abstractNumId w:val="10"/>
  </w:num>
  <w:num w:numId="14">
    <w:abstractNumId w:val="30"/>
  </w:num>
  <w:num w:numId="15">
    <w:abstractNumId w:val="36"/>
  </w:num>
  <w:num w:numId="16">
    <w:abstractNumId w:val="44"/>
  </w:num>
  <w:num w:numId="17">
    <w:abstractNumId w:val="20"/>
  </w:num>
  <w:num w:numId="18">
    <w:abstractNumId w:val="6"/>
  </w:num>
  <w:num w:numId="19">
    <w:abstractNumId w:val="7"/>
  </w:num>
  <w:num w:numId="20">
    <w:abstractNumId w:val="11"/>
  </w:num>
  <w:num w:numId="21">
    <w:abstractNumId w:val="25"/>
  </w:num>
  <w:num w:numId="22">
    <w:abstractNumId w:val="35"/>
  </w:num>
  <w:num w:numId="23">
    <w:abstractNumId w:val="14"/>
  </w:num>
  <w:num w:numId="24">
    <w:abstractNumId w:val="0"/>
  </w:num>
  <w:num w:numId="25">
    <w:abstractNumId w:val="3"/>
  </w:num>
  <w:num w:numId="26">
    <w:abstractNumId w:val="1"/>
  </w:num>
  <w:num w:numId="27">
    <w:abstractNumId w:val="4"/>
  </w:num>
  <w:num w:numId="28">
    <w:abstractNumId w:val="42"/>
  </w:num>
  <w:num w:numId="29">
    <w:abstractNumId w:val="45"/>
  </w:num>
  <w:num w:numId="30">
    <w:abstractNumId w:val="8"/>
  </w:num>
  <w:num w:numId="31">
    <w:abstractNumId w:val="22"/>
  </w:num>
  <w:num w:numId="32">
    <w:abstractNumId w:val="16"/>
  </w:num>
  <w:num w:numId="33">
    <w:abstractNumId w:val="41"/>
  </w:num>
  <w:num w:numId="34">
    <w:abstractNumId w:val="31"/>
  </w:num>
  <w:num w:numId="35">
    <w:abstractNumId w:val="37"/>
  </w:num>
  <w:num w:numId="36">
    <w:abstractNumId w:val="27"/>
  </w:num>
  <w:num w:numId="37">
    <w:abstractNumId w:val="40"/>
  </w:num>
  <w:num w:numId="38">
    <w:abstractNumId w:val="24"/>
  </w:num>
  <w:num w:numId="39">
    <w:abstractNumId w:val="29"/>
  </w:num>
  <w:num w:numId="40">
    <w:abstractNumId w:val="21"/>
  </w:num>
  <w:num w:numId="41">
    <w:abstractNumId w:val="18"/>
  </w:num>
  <w:num w:numId="42">
    <w:abstractNumId w:val="19"/>
  </w:num>
  <w:num w:numId="43">
    <w:abstractNumId w:val="12"/>
  </w:num>
  <w:num w:numId="44">
    <w:abstractNumId w:val="2"/>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8B"/>
    <w:rsid w:val="00000A99"/>
    <w:rsid w:val="00004F09"/>
    <w:rsid w:val="0000765B"/>
    <w:rsid w:val="000155D2"/>
    <w:rsid w:val="00022284"/>
    <w:rsid w:val="000366AB"/>
    <w:rsid w:val="00040E32"/>
    <w:rsid w:val="00044C7C"/>
    <w:rsid w:val="00045B88"/>
    <w:rsid w:val="000656E5"/>
    <w:rsid w:val="00070C06"/>
    <w:rsid w:val="00072F8B"/>
    <w:rsid w:val="00097EF7"/>
    <w:rsid w:val="000D012F"/>
    <w:rsid w:val="000D2346"/>
    <w:rsid w:val="000D3384"/>
    <w:rsid w:val="000E2B98"/>
    <w:rsid w:val="000E430D"/>
    <w:rsid w:val="00113884"/>
    <w:rsid w:val="0011399F"/>
    <w:rsid w:val="001142A4"/>
    <w:rsid w:val="00124356"/>
    <w:rsid w:val="001258EA"/>
    <w:rsid w:val="00154F02"/>
    <w:rsid w:val="00156BC0"/>
    <w:rsid w:val="00163E3A"/>
    <w:rsid w:val="00173884"/>
    <w:rsid w:val="00174736"/>
    <w:rsid w:val="001774D2"/>
    <w:rsid w:val="00182BA5"/>
    <w:rsid w:val="00191F6D"/>
    <w:rsid w:val="00194792"/>
    <w:rsid w:val="001964FC"/>
    <w:rsid w:val="001B3BF3"/>
    <w:rsid w:val="001C2986"/>
    <w:rsid w:val="001C2C21"/>
    <w:rsid w:val="001C5596"/>
    <w:rsid w:val="001D3756"/>
    <w:rsid w:val="001D64F3"/>
    <w:rsid w:val="001E00FE"/>
    <w:rsid w:val="00203CA6"/>
    <w:rsid w:val="002112F3"/>
    <w:rsid w:val="0022753F"/>
    <w:rsid w:val="002352B0"/>
    <w:rsid w:val="0024558D"/>
    <w:rsid w:val="00270527"/>
    <w:rsid w:val="00274F34"/>
    <w:rsid w:val="00285114"/>
    <w:rsid w:val="00285F75"/>
    <w:rsid w:val="0029514F"/>
    <w:rsid w:val="002A0091"/>
    <w:rsid w:val="002A5D05"/>
    <w:rsid w:val="002B0934"/>
    <w:rsid w:val="002B7951"/>
    <w:rsid w:val="002D565C"/>
    <w:rsid w:val="002E4903"/>
    <w:rsid w:val="002F42B0"/>
    <w:rsid w:val="002F7468"/>
    <w:rsid w:val="003269CD"/>
    <w:rsid w:val="00327963"/>
    <w:rsid w:val="0032797A"/>
    <w:rsid w:val="003301C0"/>
    <w:rsid w:val="003332CC"/>
    <w:rsid w:val="003350FC"/>
    <w:rsid w:val="00347726"/>
    <w:rsid w:val="00347D24"/>
    <w:rsid w:val="00365132"/>
    <w:rsid w:val="00395A39"/>
    <w:rsid w:val="003A5B18"/>
    <w:rsid w:val="003B3C59"/>
    <w:rsid w:val="003B774F"/>
    <w:rsid w:val="003C7647"/>
    <w:rsid w:val="003D6F91"/>
    <w:rsid w:val="003F03A3"/>
    <w:rsid w:val="003F41CD"/>
    <w:rsid w:val="003F65B9"/>
    <w:rsid w:val="00400342"/>
    <w:rsid w:val="004208BB"/>
    <w:rsid w:val="0044258E"/>
    <w:rsid w:val="00456819"/>
    <w:rsid w:val="00461CD4"/>
    <w:rsid w:val="00476E4F"/>
    <w:rsid w:val="00477C99"/>
    <w:rsid w:val="004A4674"/>
    <w:rsid w:val="004D1B1F"/>
    <w:rsid w:val="004E6032"/>
    <w:rsid w:val="004F1A8C"/>
    <w:rsid w:val="00517336"/>
    <w:rsid w:val="005359FD"/>
    <w:rsid w:val="005451F0"/>
    <w:rsid w:val="005479CE"/>
    <w:rsid w:val="0058677A"/>
    <w:rsid w:val="0059439E"/>
    <w:rsid w:val="005A1E68"/>
    <w:rsid w:val="005B1098"/>
    <w:rsid w:val="005F01DB"/>
    <w:rsid w:val="005F410C"/>
    <w:rsid w:val="00621589"/>
    <w:rsid w:val="00627789"/>
    <w:rsid w:val="00633D3E"/>
    <w:rsid w:val="00636F39"/>
    <w:rsid w:val="00642870"/>
    <w:rsid w:val="0064747A"/>
    <w:rsid w:val="00647B72"/>
    <w:rsid w:val="00651FD0"/>
    <w:rsid w:val="006617E8"/>
    <w:rsid w:val="00667B5E"/>
    <w:rsid w:val="00671F34"/>
    <w:rsid w:val="006806C6"/>
    <w:rsid w:val="00682E3C"/>
    <w:rsid w:val="006930B8"/>
    <w:rsid w:val="006A1C56"/>
    <w:rsid w:val="006D7E3F"/>
    <w:rsid w:val="006E08D6"/>
    <w:rsid w:val="006F7DEE"/>
    <w:rsid w:val="007007E1"/>
    <w:rsid w:val="00726C91"/>
    <w:rsid w:val="0076034A"/>
    <w:rsid w:val="00775D8B"/>
    <w:rsid w:val="007771E0"/>
    <w:rsid w:val="007C02DD"/>
    <w:rsid w:val="007C614A"/>
    <w:rsid w:val="007E3CFE"/>
    <w:rsid w:val="008054B6"/>
    <w:rsid w:val="00813FDD"/>
    <w:rsid w:val="0084085B"/>
    <w:rsid w:val="00850212"/>
    <w:rsid w:val="008B55F9"/>
    <w:rsid w:val="008D1A05"/>
    <w:rsid w:val="008F12FC"/>
    <w:rsid w:val="008F7348"/>
    <w:rsid w:val="00907EA8"/>
    <w:rsid w:val="009145FB"/>
    <w:rsid w:val="00933EA0"/>
    <w:rsid w:val="00941FC5"/>
    <w:rsid w:val="00953B1B"/>
    <w:rsid w:val="00957FFD"/>
    <w:rsid w:val="00964992"/>
    <w:rsid w:val="00967C39"/>
    <w:rsid w:val="009705BE"/>
    <w:rsid w:val="00973729"/>
    <w:rsid w:val="00976250"/>
    <w:rsid w:val="00982293"/>
    <w:rsid w:val="00984469"/>
    <w:rsid w:val="009B65D1"/>
    <w:rsid w:val="009D717C"/>
    <w:rsid w:val="009D735C"/>
    <w:rsid w:val="00A02539"/>
    <w:rsid w:val="00A14970"/>
    <w:rsid w:val="00A30A09"/>
    <w:rsid w:val="00A538BC"/>
    <w:rsid w:val="00A56F23"/>
    <w:rsid w:val="00A76EB6"/>
    <w:rsid w:val="00A96BE3"/>
    <w:rsid w:val="00A97F4F"/>
    <w:rsid w:val="00AA1842"/>
    <w:rsid w:val="00AD5D70"/>
    <w:rsid w:val="00AD6BFD"/>
    <w:rsid w:val="00AD771D"/>
    <w:rsid w:val="00AE6A7C"/>
    <w:rsid w:val="00B0630E"/>
    <w:rsid w:val="00B465B1"/>
    <w:rsid w:val="00B46DF5"/>
    <w:rsid w:val="00B54161"/>
    <w:rsid w:val="00B60EFE"/>
    <w:rsid w:val="00B628C1"/>
    <w:rsid w:val="00B729E2"/>
    <w:rsid w:val="00B84D0A"/>
    <w:rsid w:val="00B86EF0"/>
    <w:rsid w:val="00B86F33"/>
    <w:rsid w:val="00B92944"/>
    <w:rsid w:val="00B9530E"/>
    <w:rsid w:val="00BA3A64"/>
    <w:rsid w:val="00BA7734"/>
    <w:rsid w:val="00BB013D"/>
    <w:rsid w:val="00BD10E6"/>
    <w:rsid w:val="00BD2AB8"/>
    <w:rsid w:val="00BE5A64"/>
    <w:rsid w:val="00BF481B"/>
    <w:rsid w:val="00C007B4"/>
    <w:rsid w:val="00C01280"/>
    <w:rsid w:val="00C016CD"/>
    <w:rsid w:val="00C03588"/>
    <w:rsid w:val="00C039F8"/>
    <w:rsid w:val="00C04635"/>
    <w:rsid w:val="00C11479"/>
    <w:rsid w:val="00C1342C"/>
    <w:rsid w:val="00C33EFD"/>
    <w:rsid w:val="00C62C4E"/>
    <w:rsid w:val="00C65BF9"/>
    <w:rsid w:val="00C72871"/>
    <w:rsid w:val="00C9020B"/>
    <w:rsid w:val="00C92B10"/>
    <w:rsid w:val="00C96E14"/>
    <w:rsid w:val="00CA4A66"/>
    <w:rsid w:val="00CA6AB6"/>
    <w:rsid w:val="00CA6CC9"/>
    <w:rsid w:val="00CC4263"/>
    <w:rsid w:val="00CC5A80"/>
    <w:rsid w:val="00CD531A"/>
    <w:rsid w:val="00CE1E2D"/>
    <w:rsid w:val="00CF000C"/>
    <w:rsid w:val="00CF3505"/>
    <w:rsid w:val="00D275F0"/>
    <w:rsid w:val="00D31892"/>
    <w:rsid w:val="00D54577"/>
    <w:rsid w:val="00D6393F"/>
    <w:rsid w:val="00D67475"/>
    <w:rsid w:val="00D7394A"/>
    <w:rsid w:val="00D92D1E"/>
    <w:rsid w:val="00DA0B6B"/>
    <w:rsid w:val="00DA0F86"/>
    <w:rsid w:val="00DA20D2"/>
    <w:rsid w:val="00DA7029"/>
    <w:rsid w:val="00DB1D60"/>
    <w:rsid w:val="00DB1ED7"/>
    <w:rsid w:val="00DB5BF1"/>
    <w:rsid w:val="00DD018E"/>
    <w:rsid w:val="00DD4CC4"/>
    <w:rsid w:val="00DE1D15"/>
    <w:rsid w:val="00DE46EC"/>
    <w:rsid w:val="00DF1408"/>
    <w:rsid w:val="00DF2318"/>
    <w:rsid w:val="00E02035"/>
    <w:rsid w:val="00E05BB5"/>
    <w:rsid w:val="00E115F0"/>
    <w:rsid w:val="00E3546C"/>
    <w:rsid w:val="00E3797D"/>
    <w:rsid w:val="00E5354C"/>
    <w:rsid w:val="00E64FEF"/>
    <w:rsid w:val="00E70EEF"/>
    <w:rsid w:val="00E82A19"/>
    <w:rsid w:val="00E9361E"/>
    <w:rsid w:val="00E93BA6"/>
    <w:rsid w:val="00E9739D"/>
    <w:rsid w:val="00EA2DAF"/>
    <w:rsid w:val="00EB17C3"/>
    <w:rsid w:val="00EC5DBE"/>
    <w:rsid w:val="00ED5BC3"/>
    <w:rsid w:val="00ED5F30"/>
    <w:rsid w:val="00EF6D0F"/>
    <w:rsid w:val="00F16AE7"/>
    <w:rsid w:val="00F45600"/>
    <w:rsid w:val="00F50C8A"/>
    <w:rsid w:val="00F539D5"/>
    <w:rsid w:val="00F54057"/>
    <w:rsid w:val="00F543D1"/>
    <w:rsid w:val="00F708E8"/>
    <w:rsid w:val="00F864C6"/>
    <w:rsid w:val="00F923C9"/>
    <w:rsid w:val="00FD30F9"/>
    <w:rsid w:val="00FD7861"/>
    <w:rsid w:val="00FF1698"/>
    <w:rsid w:val="00FF4678"/>
    <w:rsid w:val="00FF483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7BC1"/>
  <w15:docId w15:val="{5F5FFC88-67FB-4973-933A-1F8D557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54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8B"/>
    <w:pPr>
      <w:ind w:left="720"/>
      <w:contextualSpacing/>
    </w:pPr>
  </w:style>
  <w:style w:type="paragraph" w:customStyle="1" w:styleId="yiv5386992270msonormal">
    <w:name w:val="yiv5386992270msonormal"/>
    <w:basedOn w:val="Normal"/>
    <w:rsid w:val="0062158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3EA0"/>
    <w:rPr>
      <w:sz w:val="16"/>
      <w:szCs w:val="16"/>
    </w:rPr>
  </w:style>
  <w:style w:type="paragraph" w:styleId="CommentText">
    <w:name w:val="annotation text"/>
    <w:basedOn w:val="Normal"/>
    <w:link w:val="CommentTextChar"/>
    <w:uiPriority w:val="99"/>
    <w:unhideWhenUsed/>
    <w:rsid w:val="00933EA0"/>
    <w:pPr>
      <w:spacing w:line="240" w:lineRule="auto"/>
    </w:pPr>
    <w:rPr>
      <w:sz w:val="20"/>
      <w:szCs w:val="20"/>
    </w:rPr>
  </w:style>
  <w:style w:type="character" w:customStyle="1" w:styleId="CommentTextChar">
    <w:name w:val="Comment Text Char"/>
    <w:basedOn w:val="DefaultParagraphFont"/>
    <w:link w:val="CommentText"/>
    <w:uiPriority w:val="99"/>
    <w:rsid w:val="00933EA0"/>
    <w:rPr>
      <w:sz w:val="20"/>
      <w:szCs w:val="20"/>
    </w:rPr>
  </w:style>
  <w:style w:type="paragraph" w:styleId="CommentSubject">
    <w:name w:val="annotation subject"/>
    <w:basedOn w:val="CommentText"/>
    <w:next w:val="CommentText"/>
    <w:link w:val="CommentSubjectChar"/>
    <w:uiPriority w:val="99"/>
    <w:semiHidden/>
    <w:unhideWhenUsed/>
    <w:rsid w:val="00933EA0"/>
    <w:rPr>
      <w:b/>
      <w:bCs/>
    </w:rPr>
  </w:style>
  <w:style w:type="character" w:customStyle="1" w:styleId="CommentSubjectChar">
    <w:name w:val="Comment Subject Char"/>
    <w:basedOn w:val="CommentTextChar"/>
    <w:link w:val="CommentSubject"/>
    <w:uiPriority w:val="99"/>
    <w:semiHidden/>
    <w:rsid w:val="00933EA0"/>
    <w:rPr>
      <w:b/>
      <w:bCs/>
      <w:sz w:val="20"/>
      <w:szCs w:val="20"/>
    </w:rPr>
  </w:style>
  <w:style w:type="paragraph" w:styleId="BalloonText">
    <w:name w:val="Balloon Text"/>
    <w:basedOn w:val="Normal"/>
    <w:link w:val="BalloonTextChar"/>
    <w:uiPriority w:val="99"/>
    <w:semiHidden/>
    <w:unhideWhenUsed/>
    <w:rsid w:val="00933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A0"/>
    <w:rPr>
      <w:rFonts w:ascii="Segoe UI" w:hAnsi="Segoe UI" w:cs="Segoe UI"/>
      <w:sz w:val="18"/>
      <w:szCs w:val="18"/>
    </w:rPr>
  </w:style>
  <w:style w:type="paragraph" w:styleId="FootnoteText">
    <w:name w:val="footnote text"/>
    <w:aliases w:val="single space,footnote text,f,DSE note,FOOTNOTES,fn,ft,Footnote Text Char1,Footnote Text Char Char,Footnote,Footnote Text qer,Footnote Text Char Char Char Char Char Char Char Char Char Char,ADB,WB-Fuﬂnotentext,Fuﬂnote,Fuﬂnotentext Char,Text"/>
    <w:basedOn w:val="Normal"/>
    <w:link w:val="FootnoteTextChar"/>
    <w:uiPriority w:val="99"/>
    <w:unhideWhenUsed/>
    <w:rsid w:val="00B729E2"/>
    <w:pPr>
      <w:spacing w:after="0" w:line="240" w:lineRule="auto"/>
    </w:pPr>
    <w:rPr>
      <w:sz w:val="20"/>
      <w:szCs w:val="20"/>
    </w:rPr>
  </w:style>
  <w:style w:type="character" w:customStyle="1" w:styleId="FootnoteTextChar">
    <w:name w:val="Footnote Text Char"/>
    <w:aliases w:val="single space Char,footnote text Char,f Char,DSE note Char,FOOTNOTES Char,fn Char,ft Char,Footnote Text Char1 Char,Footnote Text Char Char Char,Footnote Char,Footnote Text qer Char,ADB Char,WB-Fuﬂnotentext Char,Fuﬂnote Char,Text Char"/>
    <w:basedOn w:val="DefaultParagraphFont"/>
    <w:link w:val="FootnoteText"/>
    <w:uiPriority w:val="99"/>
    <w:rsid w:val="00B729E2"/>
    <w:rPr>
      <w:sz w:val="20"/>
      <w:szCs w:val="20"/>
    </w:rPr>
  </w:style>
  <w:style w:type="character" w:styleId="FootnoteReference">
    <w:name w:val="footnote reference"/>
    <w:aliases w:val="ftref,(NECG) Footnote Reference,Ref,de nota al pie"/>
    <w:basedOn w:val="DefaultParagraphFont"/>
    <w:unhideWhenUsed/>
    <w:rsid w:val="00B729E2"/>
    <w:rPr>
      <w:vertAlign w:val="superscript"/>
    </w:rPr>
  </w:style>
  <w:style w:type="table" w:styleId="TableGrid">
    <w:name w:val="Table Grid"/>
    <w:basedOn w:val="TableNormal"/>
    <w:uiPriority w:val="39"/>
    <w:rsid w:val="003D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733933743msonormal">
    <w:name w:val="yiv8733933743msonormal"/>
    <w:basedOn w:val="Normal"/>
    <w:rsid w:val="00347D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33933743msolistparagraph">
    <w:name w:val="yiv8733933743msolistparagraph"/>
    <w:basedOn w:val="Normal"/>
    <w:rsid w:val="00347D2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39D5"/>
    <w:pPr>
      <w:spacing w:after="0" w:line="240" w:lineRule="auto"/>
    </w:pPr>
  </w:style>
  <w:style w:type="paragraph" w:styleId="Header">
    <w:name w:val="header"/>
    <w:basedOn w:val="Normal"/>
    <w:link w:val="HeaderChar"/>
    <w:uiPriority w:val="99"/>
    <w:unhideWhenUsed/>
    <w:rsid w:val="00B9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30E"/>
  </w:style>
  <w:style w:type="paragraph" w:styleId="Footer">
    <w:name w:val="footer"/>
    <w:basedOn w:val="Normal"/>
    <w:link w:val="FooterChar"/>
    <w:uiPriority w:val="99"/>
    <w:unhideWhenUsed/>
    <w:rsid w:val="00B9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0E"/>
  </w:style>
  <w:style w:type="character" w:customStyle="1" w:styleId="Heading1Char">
    <w:name w:val="Heading 1 Char"/>
    <w:basedOn w:val="DefaultParagraphFont"/>
    <w:link w:val="Heading1"/>
    <w:uiPriority w:val="9"/>
    <w:rsid w:val="008054B6"/>
    <w:rPr>
      <w:rFonts w:asciiTheme="majorHAnsi" w:eastAsiaTheme="majorEastAsia" w:hAnsiTheme="majorHAnsi" w:cstheme="majorBidi"/>
      <w:b/>
      <w:bCs/>
      <w:color w:val="2E74B5" w:themeColor="accent1" w:themeShade="BF"/>
      <w:sz w:val="28"/>
      <w:szCs w:val="28"/>
    </w:rPr>
  </w:style>
  <w:style w:type="paragraph" w:customStyle="1" w:styleId="StudySubtitle">
    <w:name w:val="Study Subtitle"/>
    <w:qFormat/>
    <w:rsid w:val="008054B6"/>
    <w:pPr>
      <w:spacing w:before="240" w:after="0" w:line="560" w:lineRule="exact"/>
    </w:pPr>
    <w:rPr>
      <w:rFonts w:ascii="Times New Roman" w:eastAsiaTheme="minorEastAsia" w:hAnsi="Times New Roman" w:cs="Times New Roman"/>
      <w:b/>
      <w:bCs/>
      <w:color w:val="44546A" w:themeColor="text2"/>
      <w:sz w:val="48"/>
      <w:szCs w:val="48"/>
    </w:rPr>
  </w:style>
  <w:style w:type="paragraph" w:customStyle="1" w:styleId="StudyTitle">
    <w:name w:val="Study Title"/>
    <w:qFormat/>
    <w:rsid w:val="008054B6"/>
    <w:pPr>
      <w:spacing w:after="0" w:line="720" w:lineRule="exact"/>
    </w:pPr>
    <w:rPr>
      <w:rFonts w:asciiTheme="majorHAnsi" w:eastAsiaTheme="minorEastAsia" w:hAnsiTheme="majorHAnsi"/>
      <w:caps/>
      <w:color w:val="44546A" w:themeColor="text2"/>
      <w:sz w:val="64"/>
      <w:szCs w:val="64"/>
    </w:rPr>
  </w:style>
  <w:style w:type="paragraph" w:customStyle="1" w:styleId="StudyDate">
    <w:name w:val="Study Date"/>
    <w:basedOn w:val="Normal"/>
    <w:qFormat/>
    <w:rsid w:val="008054B6"/>
    <w:pPr>
      <w:spacing w:after="0" w:line="240" w:lineRule="auto"/>
    </w:pPr>
    <w:rPr>
      <w:rFonts w:ascii="Times New Roman" w:eastAsiaTheme="minorEastAsia" w:hAnsi="Times New Roman" w:cs="Times New Roman"/>
      <w:i/>
      <w:color w:val="44546A" w:themeColor="text2"/>
      <w:sz w:val="24"/>
      <w:szCs w:val="24"/>
    </w:rPr>
  </w:style>
  <w:style w:type="character" w:styleId="Hyperlink">
    <w:name w:val="Hyperlink"/>
    <w:uiPriority w:val="99"/>
    <w:unhideWhenUsed/>
    <w:rsid w:val="008054B6"/>
    <w:rPr>
      <w:color w:val="44546A" w:themeColor="tex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60232">
      <w:bodyDiv w:val="1"/>
      <w:marLeft w:val="0"/>
      <w:marRight w:val="0"/>
      <w:marTop w:val="0"/>
      <w:marBottom w:val="0"/>
      <w:divBdr>
        <w:top w:val="none" w:sz="0" w:space="0" w:color="auto"/>
        <w:left w:val="none" w:sz="0" w:space="0" w:color="auto"/>
        <w:bottom w:val="none" w:sz="0" w:space="0" w:color="auto"/>
        <w:right w:val="none" w:sz="0" w:space="0" w:color="auto"/>
      </w:divBdr>
      <w:divsChild>
        <w:div w:id="1138719208">
          <w:marLeft w:val="0"/>
          <w:marRight w:val="0"/>
          <w:marTop w:val="0"/>
          <w:marBottom w:val="0"/>
          <w:divBdr>
            <w:top w:val="none" w:sz="0" w:space="0" w:color="auto"/>
            <w:left w:val="none" w:sz="0" w:space="0" w:color="auto"/>
            <w:bottom w:val="none" w:sz="0" w:space="0" w:color="auto"/>
            <w:right w:val="none" w:sz="0" w:space="0" w:color="auto"/>
          </w:divBdr>
          <w:divsChild>
            <w:div w:id="1390152573">
              <w:marLeft w:val="0"/>
              <w:marRight w:val="0"/>
              <w:marTop w:val="0"/>
              <w:marBottom w:val="0"/>
              <w:divBdr>
                <w:top w:val="none" w:sz="0" w:space="0" w:color="auto"/>
                <w:left w:val="none" w:sz="0" w:space="0" w:color="auto"/>
                <w:bottom w:val="none" w:sz="0" w:space="0" w:color="auto"/>
                <w:right w:val="none" w:sz="0" w:space="0" w:color="auto"/>
              </w:divBdr>
              <w:divsChild>
                <w:div w:id="39017457">
                  <w:marLeft w:val="0"/>
                  <w:marRight w:val="0"/>
                  <w:marTop w:val="0"/>
                  <w:marBottom w:val="0"/>
                  <w:divBdr>
                    <w:top w:val="none" w:sz="0" w:space="0" w:color="auto"/>
                    <w:left w:val="none" w:sz="0" w:space="0" w:color="auto"/>
                    <w:bottom w:val="none" w:sz="0" w:space="0" w:color="auto"/>
                    <w:right w:val="none" w:sz="0" w:space="0" w:color="auto"/>
                  </w:divBdr>
                  <w:divsChild>
                    <w:div w:id="1458529173">
                      <w:marLeft w:val="0"/>
                      <w:marRight w:val="0"/>
                      <w:marTop w:val="0"/>
                      <w:marBottom w:val="0"/>
                      <w:divBdr>
                        <w:top w:val="none" w:sz="0" w:space="0" w:color="auto"/>
                        <w:left w:val="none" w:sz="0" w:space="0" w:color="auto"/>
                        <w:bottom w:val="none" w:sz="0" w:space="0" w:color="auto"/>
                        <w:right w:val="none" w:sz="0" w:space="0" w:color="auto"/>
                      </w:divBdr>
                      <w:divsChild>
                        <w:div w:id="1813209083">
                          <w:marLeft w:val="0"/>
                          <w:marRight w:val="0"/>
                          <w:marTop w:val="0"/>
                          <w:marBottom w:val="0"/>
                          <w:divBdr>
                            <w:top w:val="none" w:sz="0" w:space="0" w:color="auto"/>
                            <w:left w:val="none" w:sz="0" w:space="0" w:color="auto"/>
                            <w:bottom w:val="none" w:sz="0" w:space="0" w:color="auto"/>
                            <w:right w:val="none" w:sz="0" w:space="0" w:color="auto"/>
                          </w:divBdr>
                          <w:divsChild>
                            <w:div w:id="944848429">
                              <w:marLeft w:val="0"/>
                              <w:marRight w:val="0"/>
                              <w:marTop w:val="0"/>
                              <w:marBottom w:val="0"/>
                              <w:divBdr>
                                <w:top w:val="none" w:sz="0" w:space="0" w:color="auto"/>
                                <w:left w:val="none" w:sz="0" w:space="0" w:color="auto"/>
                                <w:bottom w:val="none" w:sz="0" w:space="0" w:color="auto"/>
                                <w:right w:val="none" w:sz="0" w:space="0" w:color="auto"/>
                              </w:divBdr>
                              <w:divsChild>
                                <w:div w:id="1618683434">
                                  <w:marLeft w:val="0"/>
                                  <w:marRight w:val="0"/>
                                  <w:marTop w:val="0"/>
                                  <w:marBottom w:val="0"/>
                                  <w:divBdr>
                                    <w:top w:val="none" w:sz="0" w:space="0" w:color="auto"/>
                                    <w:left w:val="none" w:sz="0" w:space="0" w:color="auto"/>
                                    <w:bottom w:val="none" w:sz="0" w:space="0" w:color="auto"/>
                                    <w:right w:val="none" w:sz="0" w:space="0" w:color="auto"/>
                                  </w:divBdr>
                                  <w:divsChild>
                                    <w:div w:id="1131094001">
                                      <w:marLeft w:val="0"/>
                                      <w:marRight w:val="0"/>
                                      <w:marTop w:val="0"/>
                                      <w:marBottom w:val="0"/>
                                      <w:divBdr>
                                        <w:top w:val="none" w:sz="0" w:space="0" w:color="auto"/>
                                        <w:left w:val="none" w:sz="0" w:space="0" w:color="auto"/>
                                        <w:bottom w:val="none" w:sz="0" w:space="0" w:color="auto"/>
                                        <w:right w:val="none" w:sz="0" w:space="0" w:color="auto"/>
                                      </w:divBdr>
                                      <w:divsChild>
                                        <w:div w:id="1323658293">
                                          <w:marLeft w:val="0"/>
                                          <w:marRight w:val="0"/>
                                          <w:marTop w:val="0"/>
                                          <w:marBottom w:val="0"/>
                                          <w:divBdr>
                                            <w:top w:val="none" w:sz="0" w:space="0" w:color="auto"/>
                                            <w:left w:val="none" w:sz="0" w:space="0" w:color="auto"/>
                                            <w:bottom w:val="none" w:sz="0" w:space="0" w:color="auto"/>
                                            <w:right w:val="none" w:sz="0" w:space="0" w:color="auto"/>
                                          </w:divBdr>
                                          <w:divsChild>
                                            <w:div w:id="1314526425">
                                              <w:marLeft w:val="0"/>
                                              <w:marRight w:val="0"/>
                                              <w:marTop w:val="0"/>
                                              <w:marBottom w:val="0"/>
                                              <w:divBdr>
                                                <w:top w:val="none" w:sz="0" w:space="0" w:color="auto"/>
                                                <w:left w:val="none" w:sz="0" w:space="0" w:color="auto"/>
                                                <w:bottom w:val="none" w:sz="0" w:space="0" w:color="auto"/>
                                                <w:right w:val="none" w:sz="0" w:space="0" w:color="auto"/>
                                              </w:divBdr>
                                              <w:divsChild>
                                                <w:div w:id="120344256">
                                                  <w:marLeft w:val="0"/>
                                                  <w:marRight w:val="0"/>
                                                  <w:marTop w:val="0"/>
                                                  <w:marBottom w:val="0"/>
                                                  <w:divBdr>
                                                    <w:top w:val="none" w:sz="0" w:space="0" w:color="auto"/>
                                                    <w:left w:val="none" w:sz="0" w:space="0" w:color="auto"/>
                                                    <w:bottom w:val="none" w:sz="0" w:space="0" w:color="auto"/>
                                                    <w:right w:val="none" w:sz="0" w:space="0" w:color="auto"/>
                                                  </w:divBdr>
                                                  <w:divsChild>
                                                    <w:div w:id="922835788">
                                                      <w:marLeft w:val="0"/>
                                                      <w:marRight w:val="0"/>
                                                      <w:marTop w:val="0"/>
                                                      <w:marBottom w:val="0"/>
                                                      <w:divBdr>
                                                        <w:top w:val="none" w:sz="0" w:space="0" w:color="auto"/>
                                                        <w:left w:val="none" w:sz="0" w:space="0" w:color="auto"/>
                                                        <w:bottom w:val="none" w:sz="0" w:space="0" w:color="auto"/>
                                                        <w:right w:val="none" w:sz="0" w:space="0" w:color="auto"/>
                                                      </w:divBdr>
                                                      <w:divsChild>
                                                        <w:div w:id="1229264382">
                                                          <w:marLeft w:val="0"/>
                                                          <w:marRight w:val="0"/>
                                                          <w:marTop w:val="0"/>
                                                          <w:marBottom w:val="0"/>
                                                          <w:divBdr>
                                                            <w:top w:val="none" w:sz="0" w:space="0" w:color="auto"/>
                                                            <w:left w:val="none" w:sz="0" w:space="0" w:color="auto"/>
                                                            <w:bottom w:val="none" w:sz="0" w:space="0" w:color="auto"/>
                                                            <w:right w:val="none" w:sz="0" w:space="0" w:color="auto"/>
                                                          </w:divBdr>
                                                          <w:divsChild>
                                                            <w:div w:id="1216429869">
                                                              <w:marLeft w:val="0"/>
                                                              <w:marRight w:val="0"/>
                                                              <w:marTop w:val="0"/>
                                                              <w:marBottom w:val="0"/>
                                                              <w:divBdr>
                                                                <w:top w:val="none" w:sz="0" w:space="0" w:color="auto"/>
                                                                <w:left w:val="none" w:sz="0" w:space="0" w:color="auto"/>
                                                                <w:bottom w:val="none" w:sz="0" w:space="0" w:color="auto"/>
                                                                <w:right w:val="none" w:sz="0" w:space="0" w:color="auto"/>
                                                              </w:divBdr>
                                                              <w:divsChild>
                                                                <w:div w:id="1449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publications@c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AA51-18EE-4B30-ABE2-655D5574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8346</Words>
  <Characters>47575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Sisa</dc:creator>
  <cp:lastModifiedBy>Brick, Geraldine (Dina)</cp:lastModifiedBy>
  <cp:revision>2</cp:revision>
  <dcterms:created xsi:type="dcterms:W3CDTF">2015-06-15T19:51:00Z</dcterms:created>
  <dcterms:modified xsi:type="dcterms:W3CDTF">2015-06-15T19:51:00Z</dcterms:modified>
</cp:coreProperties>
</file>